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ECABA">
      <w:pPr>
        <w:pStyle w:val="2"/>
        <w:rPr>
          <w:rStyle w:val="5"/>
          <w:rFonts w:hint="eastAsia" w:ascii="方正小标宋简体" w:hAnsi="方正小标宋简体" w:eastAsia="方正小标宋简体" w:cs="方正小标宋简体"/>
          <w:b/>
          <w:bCs/>
          <w:sz w:val="30"/>
          <w:szCs w:val="30"/>
          <w:lang w:eastAsia="zh-Hans"/>
        </w:rPr>
      </w:pPr>
      <w:bookmarkStart w:id="0" w:name="_Toc137452238"/>
      <w:r>
        <w:rPr>
          <w:rStyle w:val="5"/>
          <w:rFonts w:hint="eastAsia" w:ascii="方正小标宋简体" w:hAnsi="方正小标宋简体" w:eastAsia="方正小标宋简体" w:cs="方正小标宋简体"/>
          <w:b/>
          <w:bCs/>
          <w:sz w:val="30"/>
          <w:szCs w:val="30"/>
        </w:rPr>
        <w:t>广州体育学院研究生国家奖学金评审</w:t>
      </w:r>
      <w:r>
        <w:rPr>
          <w:rStyle w:val="5"/>
          <w:rFonts w:hint="eastAsia" w:ascii="方正小标宋简体" w:hAnsi="方正小标宋简体" w:eastAsia="方正小标宋简体" w:cs="方正小标宋简体"/>
          <w:b/>
          <w:bCs/>
          <w:sz w:val="30"/>
          <w:szCs w:val="30"/>
          <w:highlight w:val="none"/>
        </w:rPr>
        <w:t>实施细则（</w:t>
      </w:r>
      <w:r>
        <w:rPr>
          <w:rStyle w:val="5"/>
          <w:rFonts w:hint="eastAsia" w:ascii="方正小标宋简体" w:hAnsi="方正小标宋简体" w:eastAsia="方正小标宋简体" w:cs="方正小标宋简体"/>
          <w:b/>
          <w:bCs/>
          <w:sz w:val="30"/>
          <w:szCs w:val="30"/>
          <w:highlight w:val="none"/>
          <w:lang w:eastAsia="zh-Hans"/>
        </w:rPr>
        <w:t>试行）</w:t>
      </w:r>
      <w:bookmarkEnd w:id="0"/>
    </w:p>
    <w:p w14:paraId="637EC564">
      <w:pPr>
        <w:ind w:firstLine="3360" w:firstLineChars="1600"/>
        <w:rPr>
          <w:rFonts w:hint="eastAsia"/>
        </w:rPr>
      </w:pPr>
      <w:r>
        <w:rPr>
          <w:rFonts w:hint="eastAsia"/>
        </w:rPr>
        <w:t>广体〔2022〕213号</w:t>
      </w:r>
    </w:p>
    <w:p w14:paraId="58A40ABC">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为激励学生勤奋学习、潜心科研、勇于创新、积极进取，充分调动研究生参与科学研究和社会实践的积极性，激发研究生的创新和学习热情，奖励、支持表现良好的在读研究生更好地完成学业，培养德智体美劳等方面全面发展高水平人才，根据《研究生国家奖学金管理暂行办法》财教〔2012〕342号、教育部、财政部《关于印发&lt;普通高等学校研究生国家奖学金评审办法&gt;》财教〔2014〕1号文件，制定本细则（试行）。</w:t>
      </w:r>
    </w:p>
    <w:p w14:paraId="66F429C3">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一、评选范围</w:t>
      </w:r>
    </w:p>
    <w:p w14:paraId="730E9590">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本办法所涉及研究生指纳入全国研究生招生计划的二、三年级全日制在读研究生，奖学金每年评选一次。</w:t>
      </w:r>
    </w:p>
    <w:p w14:paraId="4AF778AB">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二、评审时间</w:t>
      </w:r>
    </w:p>
    <w:p w14:paraId="42ED33C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 xml:space="preserve"> 每年10月份。</w:t>
      </w:r>
    </w:p>
    <w:p w14:paraId="55936C3F">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三、参评条件</w:t>
      </w:r>
    </w:p>
    <w:p w14:paraId="6DB763DE">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（一）具有中华人民共和国国籍；</w:t>
      </w:r>
    </w:p>
    <w:p w14:paraId="6D41D924">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（二）热爱社会主义祖国，拥护中国共产党的领导；</w:t>
      </w:r>
    </w:p>
    <w:p w14:paraId="5DE59098">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（三）遵守宪法和法律，遵守研究生培养单位规章制度；</w:t>
      </w:r>
    </w:p>
    <w:p w14:paraId="48392A58">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（四）诚实守信，道德品质优良；</w:t>
      </w:r>
    </w:p>
    <w:p w14:paraId="206CB4F4">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（五）积极参与科学研究和社会实践；</w:t>
      </w:r>
    </w:p>
    <w:p w14:paraId="4B1978BA">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 xml:space="preserve">（六）学习成绩优异，科研成果丰硕，竞赛成绩突出； </w:t>
      </w:r>
    </w:p>
    <w:p w14:paraId="6DAFA742">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（七）所修课程全部通过考核且无重修记录；所有学位课程（专业学位研究生含实习成绩）平均成绩80分（含80分）以上；大学英语四级考试达到425分以上。</w:t>
      </w:r>
    </w:p>
    <w:p w14:paraId="1D732AE7">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（八）有下列情况之一者不能参评。</w:t>
      </w:r>
    </w:p>
    <w:p w14:paraId="74D0BA0E">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1．因违反校纪校规和国家法律正在受到纪律处分；</w:t>
      </w:r>
    </w:p>
    <w:p w14:paraId="672E43E9">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2．经查证，参评时故意提交虚假材料或存在抄袭剽窃、弄虚作假等学术不端行为；</w:t>
      </w:r>
    </w:p>
    <w:p w14:paraId="752B60A3">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3. 参评学年学籍状态处于休学、保留学籍；</w:t>
      </w:r>
    </w:p>
    <w:p w14:paraId="4DD41E62">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4. 在校学习时间超过三年；</w:t>
      </w:r>
    </w:p>
    <w:p w14:paraId="3C0CD499">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5. 无正当事由未按学院规定注册缴费；</w:t>
      </w:r>
    </w:p>
    <w:p w14:paraId="5D23631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6. 未按规定时间提交培养材料和完成培养阶段性目标；</w:t>
      </w:r>
    </w:p>
    <w:p w14:paraId="64185517">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7. 在学术研究中有弄虚作假行为；</w:t>
      </w:r>
    </w:p>
    <w:p w14:paraId="033FDFD4">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8. 参加非法组织及活动；</w:t>
      </w:r>
    </w:p>
    <w:p w14:paraId="5B5F84ED">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9. 因私出国（境）留学、疾病、创业等原因未在校学习者。</w:t>
      </w:r>
    </w:p>
    <w:p w14:paraId="0E7271B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四、评审组织、程序及要求</w:t>
      </w:r>
    </w:p>
    <w:p w14:paraId="2420711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（一）评审组织</w:t>
      </w:r>
    </w:p>
    <w:p w14:paraId="030D7295">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成立学校研究生奖学金评审领导小组，成员由学校主管领导、研究生院、财务处、校纪检监察室等相关职能部门主要负责人及导师代表组成，主要职责为领导、统筹、协调、监督评审工作，裁决学生对评审结果的申诉。评审领导小组下设“研究生资助工作办公室”，办公地点设在研究生院。办公室设组长2人，副组长2人，资助专员6人，主要职责为研究生国家奖学金的组织申请、评审等工作。</w:t>
      </w:r>
    </w:p>
    <w:p w14:paraId="64948B9C">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（二）评审程序及要求</w:t>
      </w:r>
    </w:p>
    <w:p w14:paraId="6871B6FD">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1．研究生国家奖学金的评审工作，应坚持公开、公平、公正、择优的原则，严格执行国家的有关规定，杜绝弄虚作假；</w:t>
      </w:r>
    </w:p>
    <w:p w14:paraId="26E3532C">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2．不同类型研究生实行分类评审，学术型、专业学位硕士分开评审；</w:t>
      </w:r>
    </w:p>
    <w:p w14:paraId="4A7CD026">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3．研究生国家奖学金每年评审一次，有意申请国家奖学金的研究生，应如实填写《研究生国家奖学金申请审批表》，向研究生资助工作办公室提交申请，并提交学习成绩单、科研成果及获奖证书等评审材料原件和复印件（材料提交截止时间以当年度具体要求为准）；</w:t>
      </w:r>
    </w:p>
    <w:p w14:paraId="0C7A9136">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4．研究生资助工作办公室对申请材料进行审核，以参评者总分从高至低确定初选名单。经学校研究生奖学金评审领导小组审核后确定终评名单并在全校范围内公示5个工作日。如无异议由学校主管领导签批并按当年分配名额如数上报省教育厅。</w:t>
      </w:r>
    </w:p>
    <w:p w14:paraId="37416B38">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5．对研究生国家奖学金评审结果有异议的学生，可在公示阶段向学校研究生奖学金评审领导小组或学校纪检监察室提出申诉，学校研究生奖学金评审领导小组及时研究讨论并做出裁决，给予答复。</w:t>
      </w:r>
    </w:p>
    <w:p w14:paraId="087DE458">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五、评定标准</w:t>
      </w:r>
    </w:p>
    <w:p w14:paraId="10192C5A">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（一）评分公式</w:t>
      </w:r>
    </w:p>
    <w:p w14:paraId="16B52D06">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总评分=全部所修课程平均成绩（学术学位不含方向专业课和实习成绩，专业学位不含方向专业课成绩但含实习成绩）+ 其他得分［学术型：评定标准“（二）—（八）”项得分总和；专业学位：评定标准“（二）—（九）”项得分总和，且必须在本校硕士培养学制期内获得，科研或获奖成果必须是以广州体育学院为第一署名单位。如总分相同者按课程平均成绩排序，得分高者位居前列］</w:t>
      </w:r>
    </w:p>
    <w:p w14:paraId="4B374007">
      <w:pPr>
        <w:numPr>
          <w:ilvl w:val="0"/>
          <w:numId w:val="1"/>
        </w:numPr>
        <w:spacing w:line="380" w:lineRule="exact"/>
        <w:ind w:firstLine="405"/>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论文</w:t>
      </w:r>
    </w:p>
    <w:tbl>
      <w:tblPr>
        <w:tblStyle w:val="3"/>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4"/>
        <w:gridCol w:w="1559"/>
        <w:gridCol w:w="1251"/>
      </w:tblGrid>
      <w:tr w14:paraId="0D12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442CF81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类别</w:t>
            </w:r>
          </w:p>
        </w:tc>
        <w:tc>
          <w:tcPr>
            <w:tcW w:w="1559" w:type="dxa"/>
            <w:noWrap w:val="0"/>
            <w:vAlign w:val="center"/>
          </w:tcPr>
          <w:p w14:paraId="4D51E10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计分标准</w:t>
            </w:r>
          </w:p>
        </w:tc>
        <w:tc>
          <w:tcPr>
            <w:tcW w:w="1251" w:type="dxa"/>
            <w:noWrap w:val="0"/>
            <w:vAlign w:val="top"/>
          </w:tcPr>
          <w:p w14:paraId="2DF16D9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备注</w:t>
            </w:r>
          </w:p>
        </w:tc>
      </w:tr>
      <w:tr w14:paraId="022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14:paraId="3F50319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（1）期刊论文</w:t>
            </w:r>
          </w:p>
        </w:tc>
      </w:tr>
      <w:tr w14:paraId="053E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14:paraId="57FF7483">
            <w:pPr>
              <w:autoSpaceDE w:val="0"/>
              <w:autoSpaceDN w:val="0"/>
              <w:adjustRightInd w:val="0"/>
              <w:spacing w:line="380" w:lineRule="exac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 xml:space="preserve">收入SCI、SSCI（1 区/2 区/3 区/4 区） </w:t>
            </w:r>
          </w:p>
        </w:tc>
        <w:tc>
          <w:tcPr>
            <w:tcW w:w="1559" w:type="dxa"/>
            <w:noWrap w:val="0"/>
            <w:vAlign w:val="center"/>
          </w:tcPr>
          <w:p w14:paraId="23EA7717">
            <w:pPr>
              <w:autoSpaceDE w:val="0"/>
              <w:autoSpaceDN w:val="0"/>
              <w:adjustRightInd w:val="0"/>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45/35/20/8</w:t>
            </w:r>
          </w:p>
        </w:tc>
        <w:tc>
          <w:tcPr>
            <w:tcW w:w="1251" w:type="dxa"/>
            <w:noWrap w:val="0"/>
            <w:vAlign w:val="center"/>
          </w:tcPr>
          <w:p w14:paraId="0B31CD73">
            <w:pPr>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中科院分区升级版</w:t>
            </w:r>
          </w:p>
        </w:tc>
      </w:tr>
      <w:tr w14:paraId="469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14:paraId="3494B7EC">
            <w:pPr>
              <w:autoSpaceDE w:val="0"/>
              <w:autoSpaceDN w:val="0"/>
              <w:adjustRightInd w:val="0"/>
              <w:spacing w:line="380" w:lineRule="exact"/>
              <w:rPr>
                <w:rFonts w:hint="eastAsia" w:ascii="华文仿宋" w:hAnsi="华文仿宋" w:eastAsia="华文仿宋" w:cs="华文仿宋"/>
                <w:color w:val="000000"/>
                <w:kern w:val="0"/>
                <w:szCs w:val="21"/>
              </w:rPr>
            </w:pPr>
            <w:r>
              <w:rPr>
                <w:rFonts w:hint="eastAsia" w:ascii="华文仿宋" w:hAnsi="华文仿宋" w:eastAsia="华文仿宋" w:cs="华文仿宋"/>
                <w:kern w:val="0"/>
                <w:szCs w:val="21"/>
              </w:rPr>
              <w:t>收入A&amp;HCI</w:t>
            </w:r>
          </w:p>
        </w:tc>
        <w:tc>
          <w:tcPr>
            <w:tcW w:w="1559" w:type="dxa"/>
            <w:noWrap w:val="0"/>
            <w:vAlign w:val="center"/>
          </w:tcPr>
          <w:p w14:paraId="4D10E335">
            <w:pPr>
              <w:autoSpaceDE w:val="0"/>
              <w:autoSpaceDN w:val="0"/>
              <w:adjustRightInd w:val="0"/>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25</w:t>
            </w:r>
          </w:p>
        </w:tc>
        <w:tc>
          <w:tcPr>
            <w:tcW w:w="1251" w:type="dxa"/>
            <w:noWrap w:val="0"/>
            <w:vAlign w:val="center"/>
          </w:tcPr>
          <w:p w14:paraId="28B541E7">
            <w:pPr>
              <w:spacing w:line="380" w:lineRule="exact"/>
              <w:jc w:val="center"/>
              <w:rPr>
                <w:rFonts w:hint="eastAsia" w:ascii="华文仿宋" w:hAnsi="华文仿宋" w:eastAsia="华文仿宋" w:cs="华文仿宋"/>
                <w:color w:val="000000"/>
                <w:kern w:val="0"/>
                <w:szCs w:val="21"/>
              </w:rPr>
            </w:pPr>
          </w:p>
        </w:tc>
      </w:tr>
      <w:tr w14:paraId="7254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14:paraId="263EAC05">
            <w:pPr>
              <w:autoSpaceDE w:val="0"/>
              <w:autoSpaceDN w:val="0"/>
              <w:adjustRightInd w:val="0"/>
              <w:spacing w:line="380" w:lineRule="exact"/>
              <w:rPr>
                <w:rFonts w:hint="eastAsia" w:ascii="华文仿宋" w:hAnsi="华文仿宋" w:eastAsia="华文仿宋" w:cs="华文仿宋"/>
                <w:kern w:val="0"/>
                <w:szCs w:val="21"/>
              </w:rPr>
            </w:pPr>
            <w:r>
              <w:rPr>
                <w:rFonts w:hint="eastAsia" w:ascii="华文仿宋" w:hAnsi="华文仿宋" w:eastAsia="华文仿宋" w:cs="华文仿宋"/>
                <w:kern w:val="0"/>
                <w:szCs w:val="21"/>
              </w:rPr>
              <w:t>收入EI</w:t>
            </w:r>
          </w:p>
        </w:tc>
        <w:tc>
          <w:tcPr>
            <w:tcW w:w="1559" w:type="dxa"/>
            <w:noWrap w:val="0"/>
            <w:vAlign w:val="center"/>
          </w:tcPr>
          <w:p w14:paraId="169DB945">
            <w:pPr>
              <w:autoSpaceDE w:val="0"/>
              <w:autoSpaceDN w:val="0"/>
              <w:adjustRightInd w:val="0"/>
              <w:spacing w:line="380" w:lineRule="exact"/>
              <w:jc w:val="center"/>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15</w:t>
            </w:r>
          </w:p>
        </w:tc>
        <w:tc>
          <w:tcPr>
            <w:tcW w:w="1251" w:type="dxa"/>
            <w:noWrap w:val="0"/>
            <w:vAlign w:val="center"/>
          </w:tcPr>
          <w:p w14:paraId="677B74CB">
            <w:pPr>
              <w:spacing w:line="380" w:lineRule="exact"/>
              <w:jc w:val="center"/>
              <w:rPr>
                <w:rFonts w:hint="eastAsia" w:ascii="华文仿宋" w:hAnsi="华文仿宋" w:eastAsia="华文仿宋" w:cs="华文仿宋"/>
                <w:color w:val="000000"/>
                <w:kern w:val="0"/>
                <w:szCs w:val="21"/>
              </w:rPr>
            </w:pPr>
          </w:p>
        </w:tc>
      </w:tr>
      <w:tr w14:paraId="352E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054" w:type="dxa"/>
            <w:noWrap w:val="0"/>
            <w:vAlign w:val="center"/>
          </w:tcPr>
          <w:p w14:paraId="3C266178">
            <w:pPr>
              <w:widowControl/>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《求是》《中国社会科学》、全文收入新华文摘</w:t>
            </w:r>
          </w:p>
        </w:tc>
        <w:tc>
          <w:tcPr>
            <w:tcW w:w="1559" w:type="dxa"/>
            <w:noWrap w:val="0"/>
            <w:vAlign w:val="center"/>
          </w:tcPr>
          <w:p w14:paraId="4FB5B102">
            <w:pPr>
              <w:widowControl/>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45</w:t>
            </w:r>
          </w:p>
        </w:tc>
        <w:tc>
          <w:tcPr>
            <w:tcW w:w="1251" w:type="dxa"/>
            <w:noWrap w:val="0"/>
            <w:vAlign w:val="center"/>
          </w:tcPr>
          <w:p w14:paraId="69846497">
            <w:pPr>
              <w:widowControl/>
              <w:spacing w:line="380" w:lineRule="exact"/>
              <w:jc w:val="center"/>
              <w:rPr>
                <w:rFonts w:hint="eastAsia" w:ascii="华文仿宋" w:hAnsi="华文仿宋" w:eastAsia="华文仿宋" w:cs="华文仿宋"/>
                <w:color w:val="000000"/>
                <w:szCs w:val="21"/>
              </w:rPr>
            </w:pPr>
          </w:p>
        </w:tc>
      </w:tr>
      <w:tr w14:paraId="2C5C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4E5D645E">
            <w:pPr>
              <w:widowControl/>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摘要收入新华文摘、全文收入人大复印资料</w:t>
            </w:r>
          </w:p>
        </w:tc>
        <w:tc>
          <w:tcPr>
            <w:tcW w:w="1559" w:type="dxa"/>
            <w:noWrap w:val="0"/>
            <w:vAlign w:val="center"/>
          </w:tcPr>
          <w:p w14:paraId="483B2727">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center"/>
          </w:tcPr>
          <w:p w14:paraId="48222107">
            <w:pPr>
              <w:spacing w:line="380" w:lineRule="exact"/>
              <w:jc w:val="center"/>
              <w:rPr>
                <w:rFonts w:hint="eastAsia" w:ascii="华文仿宋" w:hAnsi="华文仿宋" w:eastAsia="华文仿宋" w:cs="华文仿宋"/>
                <w:color w:val="000000"/>
                <w:szCs w:val="21"/>
              </w:rPr>
            </w:pPr>
          </w:p>
        </w:tc>
      </w:tr>
      <w:tr w14:paraId="15A5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492F5602">
            <w:pPr>
              <w:widowControl/>
              <w:spacing w:line="380" w:lineRule="exact"/>
              <w:rPr>
                <w:rFonts w:hint="eastAsia" w:ascii="华文仿宋" w:hAnsi="华文仿宋" w:eastAsia="华文仿宋" w:cs="华文仿宋"/>
                <w:szCs w:val="21"/>
              </w:rPr>
            </w:pPr>
            <w:r>
              <w:rPr>
                <w:rFonts w:hint="eastAsia" w:ascii="华文仿宋" w:hAnsi="华文仿宋" w:eastAsia="华文仿宋" w:cs="华文仿宋"/>
                <w:color w:val="000000"/>
                <w:kern w:val="0"/>
                <w:szCs w:val="21"/>
              </w:rPr>
              <w:t>《体育科学》或《中文核心期刊要目总览》各学科第一的期</w:t>
            </w:r>
          </w:p>
          <w:p w14:paraId="6F1BD1E6">
            <w:pPr>
              <w:widowControl/>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kern w:val="0"/>
                <w:szCs w:val="21"/>
              </w:rPr>
              <w:t>刊发表的学术论文</w:t>
            </w:r>
          </w:p>
        </w:tc>
        <w:tc>
          <w:tcPr>
            <w:tcW w:w="1559" w:type="dxa"/>
            <w:noWrap w:val="0"/>
            <w:vAlign w:val="center"/>
          </w:tcPr>
          <w:p w14:paraId="217DF72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251" w:type="dxa"/>
            <w:noWrap w:val="0"/>
            <w:vAlign w:val="center"/>
          </w:tcPr>
          <w:p w14:paraId="043217DC">
            <w:pPr>
              <w:spacing w:line="380" w:lineRule="exact"/>
              <w:jc w:val="center"/>
              <w:rPr>
                <w:rFonts w:hint="eastAsia" w:ascii="华文仿宋" w:hAnsi="华文仿宋" w:eastAsia="华文仿宋" w:cs="华文仿宋"/>
                <w:color w:val="000000"/>
                <w:szCs w:val="21"/>
              </w:rPr>
            </w:pPr>
          </w:p>
        </w:tc>
      </w:tr>
      <w:tr w14:paraId="17B4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1BCDCEE1">
            <w:pPr>
              <w:spacing w:before="126" w:line="380" w:lineRule="exact"/>
              <w:ind w:left="61"/>
              <w:rPr>
                <w:rFonts w:hint="eastAsia" w:ascii="华文仿宋" w:hAnsi="华文仿宋" w:eastAsia="华文仿宋" w:cs="华文仿宋"/>
                <w:color w:val="000000"/>
                <w:szCs w:val="21"/>
              </w:rPr>
            </w:pPr>
            <w:r>
              <w:rPr>
                <w:rFonts w:hint="eastAsia" w:ascii="华文仿宋" w:hAnsi="华文仿宋" w:eastAsia="华文仿宋" w:cs="华文仿宋"/>
                <w:spacing w:val="22"/>
                <w:szCs w:val="21"/>
              </w:rPr>
              <w:t>“</w:t>
            </w:r>
            <w:r>
              <w:rPr>
                <w:rFonts w:hint="eastAsia" w:ascii="华文仿宋" w:hAnsi="华文仿宋" w:eastAsia="华文仿宋" w:cs="华文仿宋"/>
                <w:spacing w:val="12"/>
                <w:szCs w:val="21"/>
              </w:rPr>
              <w:t>中</w:t>
            </w:r>
            <w:r>
              <w:rPr>
                <w:rFonts w:hint="eastAsia" w:ascii="华文仿宋" w:hAnsi="华文仿宋" w:eastAsia="华文仿宋" w:cs="华文仿宋"/>
                <w:spacing w:val="11"/>
                <w:szCs w:val="21"/>
              </w:rPr>
              <w:t>国科技期刊卓越行动计划”入选刊物</w:t>
            </w:r>
          </w:p>
        </w:tc>
        <w:tc>
          <w:tcPr>
            <w:tcW w:w="1559" w:type="dxa"/>
            <w:noWrap w:val="0"/>
            <w:vAlign w:val="center"/>
          </w:tcPr>
          <w:p w14:paraId="321A0AE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251" w:type="dxa"/>
            <w:noWrap w:val="0"/>
            <w:vAlign w:val="center"/>
          </w:tcPr>
          <w:p w14:paraId="35F35293">
            <w:pPr>
              <w:spacing w:line="380" w:lineRule="exact"/>
              <w:jc w:val="center"/>
              <w:rPr>
                <w:rFonts w:hint="eastAsia" w:ascii="华文仿宋" w:hAnsi="华文仿宋" w:eastAsia="华文仿宋" w:cs="华文仿宋"/>
                <w:color w:val="000000"/>
                <w:szCs w:val="21"/>
              </w:rPr>
            </w:pPr>
          </w:p>
        </w:tc>
      </w:tr>
      <w:tr w14:paraId="44E1E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34F439BB">
            <w:pPr>
              <w:spacing w:before="121" w:line="380" w:lineRule="exact"/>
              <w:ind w:left="113"/>
              <w:rPr>
                <w:rFonts w:hint="eastAsia" w:ascii="华文仿宋" w:hAnsi="华文仿宋" w:eastAsia="华文仿宋" w:cs="华文仿宋"/>
                <w:color w:val="000000"/>
                <w:szCs w:val="21"/>
              </w:rPr>
            </w:pPr>
            <w:r>
              <w:rPr>
                <w:rFonts w:hint="eastAsia" w:ascii="华文仿宋" w:hAnsi="华文仿宋" w:eastAsia="华文仿宋" w:cs="华文仿宋"/>
                <w:szCs w:val="21"/>
              </w:rPr>
              <w:t>CSSCI</w:t>
            </w:r>
            <w:r>
              <w:rPr>
                <w:rFonts w:hint="eastAsia" w:ascii="华文仿宋" w:hAnsi="华文仿宋" w:eastAsia="华文仿宋" w:cs="华文仿宋"/>
                <w:spacing w:val="7"/>
                <w:szCs w:val="21"/>
              </w:rPr>
              <w:t xml:space="preserve"> 、</w:t>
            </w:r>
            <w:r>
              <w:rPr>
                <w:rFonts w:hint="eastAsia" w:ascii="华文仿宋" w:hAnsi="华文仿宋" w:eastAsia="华文仿宋" w:cs="华文仿宋"/>
                <w:szCs w:val="21"/>
              </w:rPr>
              <w:t>CSCD</w:t>
            </w:r>
            <w:r>
              <w:rPr>
                <w:rFonts w:hint="eastAsia" w:ascii="华文仿宋" w:hAnsi="华文仿宋" w:eastAsia="华文仿宋" w:cs="华文仿宋"/>
                <w:spacing w:val="7"/>
                <w:szCs w:val="21"/>
              </w:rPr>
              <w:t>源期刊</w:t>
            </w:r>
          </w:p>
        </w:tc>
        <w:tc>
          <w:tcPr>
            <w:tcW w:w="1559" w:type="dxa"/>
            <w:noWrap w:val="0"/>
            <w:vAlign w:val="center"/>
          </w:tcPr>
          <w:p w14:paraId="60E08C96">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center"/>
          </w:tcPr>
          <w:p w14:paraId="64295B95">
            <w:pPr>
              <w:spacing w:line="380" w:lineRule="exact"/>
              <w:jc w:val="center"/>
              <w:rPr>
                <w:rFonts w:hint="eastAsia" w:ascii="华文仿宋" w:hAnsi="华文仿宋" w:eastAsia="华文仿宋" w:cs="华文仿宋"/>
                <w:color w:val="000000"/>
                <w:szCs w:val="21"/>
              </w:rPr>
            </w:pPr>
          </w:p>
        </w:tc>
      </w:tr>
      <w:tr w14:paraId="500F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431E502A">
            <w:pPr>
              <w:spacing w:before="124" w:line="380" w:lineRule="exact"/>
              <w:ind w:left="118"/>
              <w:rPr>
                <w:rFonts w:hint="eastAsia" w:ascii="华文仿宋" w:hAnsi="华文仿宋" w:eastAsia="华文仿宋" w:cs="华文仿宋"/>
                <w:spacing w:val="4"/>
                <w:szCs w:val="21"/>
              </w:rPr>
            </w:pPr>
            <w:r>
              <w:rPr>
                <w:rFonts w:hint="eastAsia" w:ascii="华文仿宋" w:hAnsi="华文仿宋" w:eastAsia="华文仿宋" w:cs="华文仿宋"/>
                <w:kern w:val="0"/>
                <w:szCs w:val="21"/>
              </w:rPr>
              <w:t>国内中文核心期刊（北大版）</w:t>
            </w:r>
          </w:p>
        </w:tc>
        <w:tc>
          <w:tcPr>
            <w:tcW w:w="1559" w:type="dxa"/>
            <w:noWrap w:val="0"/>
            <w:vAlign w:val="center"/>
          </w:tcPr>
          <w:p w14:paraId="72EA43A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8</w:t>
            </w:r>
          </w:p>
        </w:tc>
        <w:tc>
          <w:tcPr>
            <w:tcW w:w="1251" w:type="dxa"/>
            <w:noWrap w:val="0"/>
            <w:vAlign w:val="center"/>
          </w:tcPr>
          <w:p w14:paraId="139A299C">
            <w:pPr>
              <w:spacing w:line="380" w:lineRule="exact"/>
              <w:jc w:val="center"/>
              <w:rPr>
                <w:rFonts w:hint="eastAsia" w:ascii="华文仿宋" w:hAnsi="华文仿宋" w:eastAsia="华文仿宋" w:cs="华文仿宋"/>
                <w:color w:val="000000"/>
                <w:szCs w:val="21"/>
              </w:rPr>
            </w:pPr>
          </w:p>
        </w:tc>
      </w:tr>
      <w:tr w14:paraId="67E5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2409C3E9">
            <w:pPr>
              <w:spacing w:before="124" w:line="380" w:lineRule="exact"/>
              <w:ind w:left="109"/>
              <w:rPr>
                <w:rFonts w:hint="eastAsia" w:ascii="华文仿宋" w:hAnsi="华文仿宋" w:eastAsia="华文仿宋" w:cs="华文仿宋"/>
                <w:szCs w:val="21"/>
              </w:rPr>
            </w:pPr>
            <w:r>
              <w:rPr>
                <w:rFonts w:hint="eastAsia" w:ascii="华文仿宋" w:hAnsi="华文仿宋" w:eastAsia="华文仿宋" w:cs="华文仿宋"/>
                <w:color w:val="000000"/>
                <w:szCs w:val="21"/>
              </w:rPr>
              <w:t>一般学术期刊（中国知网复合影响因子0.25及以上）</w:t>
            </w:r>
          </w:p>
        </w:tc>
        <w:tc>
          <w:tcPr>
            <w:tcW w:w="1559" w:type="dxa"/>
            <w:noWrap w:val="0"/>
            <w:vAlign w:val="center"/>
          </w:tcPr>
          <w:p w14:paraId="3C644F38">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highlight w:val="none"/>
              </w:rPr>
              <w:t>2</w:t>
            </w:r>
          </w:p>
        </w:tc>
        <w:tc>
          <w:tcPr>
            <w:tcW w:w="1251" w:type="dxa"/>
            <w:noWrap w:val="0"/>
            <w:vAlign w:val="center"/>
          </w:tcPr>
          <w:p w14:paraId="7D95703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累计6分封顶</w:t>
            </w:r>
          </w:p>
        </w:tc>
      </w:tr>
      <w:tr w14:paraId="7524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14:paraId="6DA24C0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（2）重要报纸理论版发表的理论文章</w:t>
            </w:r>
          </w:p>
        </w:tc>
      </w:tr>
      <w:tr w14:paraId="63E1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1A2283A6">
            <w:pPr>
              <w:spacing w:before="163" w:line="380" w:lineRule="exact"/>
              <w:ind w:left="109"/>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《人民日报》《光明日报》《经济日报》</w:t>
            </w:r>
          </w:p>
        </w:tc>
        <w:tc>
          <w:tcPr>
            <w:tcW w:w="1559" w:type="dxa"/>
            <w:noWrap w:val="0"/>
            <w:vAlign w:val="center"/>
          </w:tcPr>
          <w:p w14:paraId="68D0DE5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251" w:type="dxa"/>
            <w:noWrap w:val="0"/>
            <w:vAlign w:val="top"/>
          </w:tcPr>
          <w:p w14:paraId="2AFC5A65">
            <w:pPr>
              <w:spacing w:line="380" w:lineRule="exact"/>
              <w:jc w:val="center"/>
              <w:rPr>
                <w:rFonts w:hint="eastAsia" w:ascii="华文仿宋" w:hAnsi="华文仿宋" w:eastAsia="华文仿宋" w:cs="华文仿宋"/>
                <w:color w:val="000000"/>
                <w:szCs w:val="21"/>
              </w:rPr>
            </w:pPr>
          </w:p>
        </w:tc>
      </w:tr>
      <w:tr w14:paraId="2F89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66CCB331">
            <w:pPr>
              <w:spacing w:before="83" w:line="380" w:lineRule="exact"/>
              <w:ind w:left="125" w:right="102" w:hanging="16"/>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《中国社会科学报》《中国教育报》《学习时报》《中国体育报》</w:t>
            </w:r>
          </w:p>
        </w:tc>
        <w:tc>
          <w:tcPr>
            <w:tcW w:w="1559" w:type="dxa"/>
            <w:noWrap w:val="0"/>
            <w:vAlign w:val="center"/>
          </w:tcPr>
          <w:p w14:paraId="44C897F4">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top"/>
          </w:tcPr>
          <w:p w14:paraId="060ACDF4">
            <w:pPr>
              <w:spacing w:line="380" w:lineRule="exact"/>
              <w:jc w:val="center"/>
              <w:rPr>
                <w:rFonts w:hint="eastAsia" w:ascii="华文仿宋" w:hAnsi="华文仿宋" w:eastAsia="华文仿宋" w:cs="华文仿宋"/>
                <w:color w:val="000000"/>
                <w:szCs w:val="21"/>
              </w:rPr>
            </w:pPr>
          </w:p>
        </w:tc>
      </w:tr>
      <w:tr w14:paraId="67DF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6BA711E5">
            <w:pPr>
              <w:spacing w:before="126" w:line="380" w:lineRule="exact"/>
              <w:ind w:left="61"/>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《南方日报》等省级党报</w:t>
            </w:r>
          </w:p>
        </w:tc>
        <w:tc>
          <w:tcPr>
            <w:tcW w:w="1559" w:type="dxa"/>
            <w:noWrap w:val="0"/>
            <w:vAlign w:val="center"/>
          </w:tcPr>
          <w:p w14:paraId="68D1B0A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8</w:t>
            </w:r>
          </w:p>
        </w:tc>
        <w:tc>
          <w:tcPr>
            <w:tcW w:w="1251" w:type="dxa"/>
            <w:noWrap w:val="0"/>
            <w:vAlign w:val="top"/>
          </w:tcPr>
          <w:p w14:paraId="130B15D5">
            <w:pPr>
              <w:spacing w:line="380" w:lineRule="exact"/>
              <w:jc w:val="center"/>
              <w:rPr>
                <w:rFonts w:hint="eastAsia" w:ascii="华文仿宋" w:hAnsi="华文仿宋" w:eastAsia="华文仿宋" w:cs="华文仿宋"/>
                <w:color w:val="000000"/>
                <w:szCs w:val="21"/>
              </w:rPr>
            </w:pPr>
          </w:p>
        </w:tc>
      </w:tr>
      <w:tr w14:paraId="120E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37E9A138">
            <w:pPr>
              <w:spacing w:before="126" w:line="380" w:lineRule="exact"/>
              <w:ind w:left="61"/>
              <w:rPr>
                <w:rFonts w:hint="eastAsia" w:ascii="华文仿宋" w:hAnsi="华文仿宋" w:eastAsia="华文仿宋" w:cs="华文仿宋"/>
                <w:kern w:val="0"/>
                <w:szCs w:val="21"/>
              </w:rPr>
            </w:pPr>
            <w:r>
              <w:rPr>
                <w:rFonts w:hint="eastAsia" w:ascii="华文仿宋" w:hAnsi="华文仿宋" w:eastAsia="华文仿宋" w:cs="华文仿宋"/>
                <w:kern w:val="0"/>
                <w:szCs w:val="21"/>
              </w:rPr>
              <w:t>《广州日报》、《深圳特区报》</w:t>
            </w:r>
          </w:p>
        </w:tc>
        <w:tc>
          <w:tcPr>
            <w:tcW w:w="1559" w:type="dxa"/>
            <w:noWrap w:val="0"/>
            <w:vAlign w:val="center"/>
          </w:tcPr>
          <w:p w14:paraId="6213B1E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1251" w:type="dxa"/>
            <w:noWrap w:val="0"/>
            <w:vAlign w:val="top"/>
          </w:tcPr>
          <w:p w14:paraId="5F0322B3">
            <w:pPr>
              <w:spacing w:line="380" w:lineRule="exact"/>
              <w:jc w:val="center"/>
              <w:rPr>
                <w:rFonts w:hint="eastAsia" w:ascii="华文仿宋" w:hAnsi="华文仿宋" w:eastAsia="华文仿宋" w:cs="华文仿宋"/>
                <w:color w:val="000000"/>
                <w:szCs w:val="21"/>
              </w:rPr>
            </w:pPr>
          </w:p>
        </w:tc>
      </w:tr>
      <w:tr w14:paraId="1A5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14:paraId="565B9A42">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（3）重大网络平台发表的理论文章</w:t>
            </w:r>
          </w:p>
        </w:tc>
      </w:tr>
      <w:tr w14:paraId="5A0FC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2B390B20">
            <w:pPr>
              <w:spacing w:before="139" w:line="380" w:lineRule="exact"/>
              <w:ind w:left="109"/>
              <w:rPr>
                <w:rFonts w:hint="eastAsia" w:ascii="华文仿宋" w:hAnsi="华文仿宋" w:eastAsia="华文仿宋" w:cs="华文仿宋"/>
                <w:color w:val="000000"/>
                <w:szCs w:val="21"/>
              </w:rPr>
            </w:pPr>
            <w:r>
              <w:rPr>
                <w:rFonts w:hint="eastAsia" w:ascii="华文仿宋" w:hAnsi="华文仿宋" w:eastAsia="华文仿宋" w:cs="华文仿宋"/>
                <w:spacing w:val="17"/>
                <w:szCs w:val="21"/>
              </w:rPr>
              <w:t>《</w:t>
            </w:r>
            <w:r>
              <w:rPr>
                <w:rFonts w:hint="eastAsia" w:ascii="华文仿宋" w:hAnsi="华文仿宋" w:eastAsia="华文仿宋" w:cs="华文仿宋"/>
                <w:spacing w:val="9"/>
                <w:szCs w:val="21"/>
              </w:rPr>
              <w:t>学习强国》</w:t>
            </w:r>
          </w:p>
        </w:tc>
        <w:tc>
          <w:tcPr>
            <w:tcW w:w="1559" w:type="dxa"/>
            <w:noWrap w:val="0"/>
            <w:vAlign w:val="center"/>
          </w:tcPr>
          <w:p w14:paraId="18A4E8B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251" w:type="dxa"/>
            <w:noWrap w:val="0"/>
            <w:vAlign w:val="top"/>
          </w:tcPr>
          <w:p w14:paraId="6F707BF8">
            <w:pPr>
              <w:spacing w:line="380" w:lineRule="exact"/>
              <w:jc w:val="center"/>
              <w:rPr>
                <w:rFonts w:hint="eastAsia" w:ascii="华文仿宋" w:hAnsi="华文仿宋" w:eastAsia="华文仿宋" w:cs="华文仿宋"/>
                <w:color w:val="000000"/>
                <w:szCs w:val="21"/>
              </w:rPr>
            </w:pPr>
          </w:p>
        </w:tc>
      </w:tr>
      <w:tr w14:paraId="09D3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4" w:type="dxa"/>
            <w:gridSpan w:val="3"/>
            <w:noWrap w:val="0"/>
            <w:vAlign w:val="center"/>
          </w:tcPr>
          <w:p w14:paraId="5E3E731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（4）会议论文</w:t>
            </w:r>
          </w:p>
        </w:tc>
      </w:tr>
      <w:tr w14:paraId="428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19D9E03F">
            <w:pPr>
              <w:autoSpaceDE w:val="0"/>
              <w:autoSpaceDN w:val="0"/>
              <w:adjustRightInd w:val="0"/>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奥科会、亚科会、全国体育科学大会、全国大运会科报会、全运会科报会、收入ISTP 的国际学术会议（报告、墙报、书面交流）</w:t>
            </w:r>
          </w:p>
        </w:tc>
        <w:tc>
          <w:tcPr>
            <w:tcW w:w="1559" w:type="dxa"/>
            <w:noWrap w:val="0"/>
            <w:vAlign w:val="center"/>
          </w:tcPr>
          <w:p w14:paraId="1A20EC2F">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8、5、3</w:t>
            </w:r>
          </w:p>
        </w:tc>
        <w:tc>
          <w:tcPr>
            <w:tcW w:w="1251" w:type="dxa"/>
            <w:noWrap w:val="0"/>
            <w:vAlign w:val="top"/>
          </w:tcPr>
          <w:p w14:paraId="533498C6">
            <w:pPr>
              <w:spacing w:line="380" w:lineRule="exact"/>
              <w:jc w:val="center"/>
              <w:rPr>
                <w:rFonts w:hint="eastAsia" w:ascii="华文仿宋" w:hAnsi="华文仿宋" w:eastAsia="华文仿宋" w:cs="华文仿宋"/>
                <w:color w:val="000000"/>
                <w:szCs w:val="21"/>
              </w:rPr>
            </w:pPr>
          </w:p>
        </w:tc>
      </w:tr>
      <w:tr w14:paraId="407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054" w:type="dxa"/>
            <w:noWrap w:val="0"/>
            <w:vAlign w:val="center"/>
          </w:tcPr>
          <w:p w14:paraId="0C1E589E">
            <w:pPr>
              <w:spacing w:before="192" w:line="380" w:lineRule="exact"/>
              <w:ind w:left="106"/>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其它国际学术会议、国内一级学会学术会议（报告、墙报）</w:t>
            </w:r>
          </w:p>
        </w:tc>
        <w:tc>
          <w:tcPr>
            <w:tcW w:w="1559" w:type="dxa"/>
            <w:noWrap w:val="0"/>
            <w:vAlign w:val="center"/>
          </w:tcPr>
          <w:p w14:paraId="46A6781C">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5、3</w:t>
            </w:r>
          </w:p>
        </w:tc>
        <w:tc>
          <w:tcPr>
            <w:tcW w:w="1251" w:type="dxa"/>
            <w:noWrap w:val="0"/>
            <w:vAlign w:val="top"/>
          </w:tcPr>
          <w:p w14:paraId="27C7751A">
            <w:pPr>
              <w:spacing w:line="380" w:lineRule="exact"/>
              <w:jc w:val="center"/>
              <w:rPr>
                <w:rFonts w:hint="eastAsia" w:ascii="华文仿宋" w:hAnsi="华文仿宋" w:eastAsia="华文仿宋" w:cs="华文仿宋"/>
                <w:color w:val="000000"/>
                <w:szCs w:val="21"/>
              </w:rPr>
            </w:pPr>
          </w:p>
        </w:tc>
      </w:tr>
      <w:tr w14:paraId="724D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54" w:type="dxa"/>
            <w:noWrap w:val="0"/>
            <w:vAlign w:val="center"/>
          </w:tcPr>
          <w:p w14:paraId="3549F3A4">
            <w:pPr>
              <w:spacing w:before="124" w:line="380" w:lineRule="exact"/>
              <w:ind w:left="109"/>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国内二级学会学术会议（报告、墙报）</w:t>
            </w:r>
          </w:p>
        </w:tc>
        <w:tc>
          <w:tcPr>
            <w:tcW w:w="1559" w:type="dxa"/>
            <w:noWrap w:val="0"/>
            <w:vAlign w:val="center"/>
          </w:tcPr>
          <w:p w14:paraId="7FEE0B76">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1、0.5</w:t>
            </w:r>
          </w:p>
        </w:tc>
        <w:tc>
          <w:tcPr>
            <w:tcW w:w="1251" w:type="dxa"/>
            <w:noWrap w:val="0"/>
            <w:vAlign w:val="top"/>
          </w:tcPr>
          <w:p w14:paraId="00617E0C">
            <w:pPr>
              <w:spacing w:line="380" w:lineRule="exact"/>
              <w:jc w:val="center"/>
              <w:rPr>
                <w:rFonts w:hint="eastAsia" w:ascii="华文仿宋" w:hAnsi="华文仿宋" w:eastAsia="华文仿宋" w:cs="华文仿宋"/>
                <w:color w:val="000000"/>
                <w:szCs w:val="21"/>
              </w:rPr>
            </w:pPr>
          </w:p>
        </w:tc>
      </w:tr>
    </w:tbl>
    <w:p w14:paraId="043C2179">
      <w:pPr>
        <w:autoSpaceDE w:val="0"/>
        <w:autoSpaceDN w:val="0"/>
        <w:adjustRightInd w:val="0"/>
        <w:spacing w:line="380" w:lineRule="exact"/>
        <w:ind w:firstLine="420" w:firstLineChars="200"/>
        <w:jc w:val="left"/>
        <w:rPr>
          <w:rFonts w:hint="eastAsia" w:ascii="华文仿宋" w:hAnsi="华文仿宋" w:eastAsia="华文仿宋" w:cs="华文仿宋"/>
          <w:kern w:val="0"/>
          <w:szCs w:val="21"/>
        </w:rPr>
      </w:pPr>
      <w:r>
        <w:rPr>
          <w:rFonts w:hint="eastAsia" w:ascii="华文仿宋" w:hAnsi="华文仿宋" w:eastAsia="华文仿宋" w:cs="华文仿宋"/>
          <w:kern w:val="0"/>
          <w:szCs w:val="21"/>
        </w:rPr>
        <w:t>说明：1.所有学术论文都必须在有正式刊号的报刊上发表或在国际、国内学术会议上交流并提供会议交流证书或论文集。</w:t>
      </w:r>
    </w:p>
    <w:p w14:paraId="46B62D7C">
      <w:pPr>
        <w:autoSpaceDE w:val="0"/>
        <w:autoSpaceDN w:val="0"/>
        <w:adjustRightInd w:val="0"/>
        <w:spacing w:line="380" w:lineRule="exact"/>
        <w:ind w:firstLine="420" w:firstLineChars="200"/>
        <w:jc w:val="left"/>
        <w:rPr>
          <w:rFonts w:hint="eastAsia" w:ascii="华文仿宋" w:hAnsi="华文仿宋" w:eastAsia="华文仿宋" w:cs="华文仿宋"/>
          <w:color w:val="000000"/>
          <w:szCs w:val="21"/>
        </w:rPr>
      </w:pPr>
      <w:r>
        <w:rPr>
          <w:rFonts w:hint="eastAsia" w:ascii="华文仿宋" w:hAnsi="华文仿宋" w:eastAsia="华文仿宋" w:cs="华文仿宋"/>
          <w:kern w:val="0"/>
          <w:szCs w:val="21"/>
        </w:rPr>
        <w:t>2.被国际检索系统收录的论文，需提供确认证明；如一篇论文被两种以上检索系统收录，仅计算最高的，不重复计算。</w:t>
      </w:r>
    </w:p>
    <w:p w14:paraId="5081D4E2">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3.学术期刊同一期上发表1篇以上文章仅按照1篇计分；</w:t>
      </w:r>
    </w:p>
    <w:p w14:paraId="5ECA2578">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4.学术论文需进行重复率检测，文章重复率超过20%但在40%以内的取消该篇加分资格，超过40%的，取消文章作者奖学金评选资格；</w:t>
      </w:r>
    </w:p>
    <w:p w14:paraId="1ED91E91">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5.发表论文的应提供论文发表纸质版证明材料或知网上成功检索证明；</w:t>
      </w:r>
    </w:p>
    <w:p w14:paraId="526A1EE8">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6.若一篇文章具有多名作者，各顺位作者按以下比例记分：第1作者计60%，第二作者记30%分，第三作者计10%分。导师为第一作者、学生为第二作者时，学生可视为第一作者。</w:t>
      </w:r>
    </w:p>
    <w:p w14:paraId="6A1F29CD">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color w:val="000000"/>
          <w:szCs w:val="21"/>
        </w:rPr>
        <w:t>（</w:t>
      </w:r>
      <w:r>
        <w:rPr>
          <w:rFonts w:hint="eastAsia" w:ascii="华文仿宋" w:hAnsi="华文仿宋" w:eastAsia="华文仿宋" w:cs="华文仿宋"/>
          <w:szCs w:val="21"/>
        </w:rPr>
        <w:t>三）科研项目</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275"/>
        <w:gridCol w:w="1985"/>
        <w:gridCol w:w="1843"/>
        <w:gridCol w:w="2126"/>
      </w:tblGrid>
      <w:tr w14:paraId="6A6B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056F792">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类别</w:t>
            </w:r>
          </w:p>
        </w:tc>
        <w:tc>
          <w:tcPr>
            <w:tcW w:w="1275" w:type="dxa"/>
            <w:noWrap w:val="0"/>
            <w:vAlign w:val="center"/>
          </w:tcPr>
          <w:p w14:paraId="2DA2AE98">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主持人计分标准</w:t>
            </w:r>
          </w:p>
        </w:tc>
        <w:tc>
          <w:tcPr>
            <w:tcW w:w="5954" w:type="dxa"/>
            <w:gridSpan w:val="3"/>
            <w:noWrap w:val="0"/>
            <w:vAlign w:val="center"/>
          </w:tcPr>
          <w:p w14:paraId="007F0109">
            <w:pPr>
              <w:spacing w:line="380" w:lineRule="exact"/>
              <w:jc w:val="center"/>
              <w:rPr>
                <w:rFonts w:hint="eastAsia" w:ascii="华文仿宋" w:hAnsi="华文仿宋" w:eastAsia="华文仿宋" w:cs="华文仿宋"/>
                <w:kern w:val="0"/>
                <w:szCs w:val="21"/>
              </w:rPr>
            </w:pPr>
            <w:r>
              <w:rPr>
                <w:rFonts w:hint="eastAsia" w:ascii="华文仿宋" w:hAnsi="华文仿宋" w:eastAsia="华文仿宋" w:cs="华文仿宋"/>
                <w:kern w:val="0"/>
                <w:szCs w:val="21"/>
              </w:rPr>
              <w:t>参与人计分标准</w:t>
            </w:r>
          </w:p>
        </w:tc>
      </w:tr>
      <w:tr w14:paraId="7A0B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3082C6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国家级项目</w:t>
            </w:r>
          </w:p>
        </w:tc>
        <w:tc>
          <w:tcPr>
            <w:tcW w:w="1275" w:type="dxa"/>
            <w:noWrap w:val="0"/>
            <w:vAlign w:val="center"/>
          </w:tcPr>
          <w:p w14:paraId="33E46B0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40</w:t>
            </w:r>
          </w:p>
        </w:tc>
        <w:tc>
          <w:tcPr>
            <w:tcW w:w="1985" w:type="dxa"/>
            <w:noWrap w:val="0"/>
            <w:vAlign w:val="center"/>
          </w:tcPr>
          <w:p w14:paraId="29E65F5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第1-3参与人计20分</w:t>
            </w:r>
          </w:p>
        </w:tc>
        <w:tc>
          <w:tcPr>
            <w:tcW w:w="1843" w:type="dxa"/>
            <w:noWrap w:val="0"/>
            <w:vAlign w:val="center"/>
          </w:tcPr>
          <w:p w14:paraId="67D81AD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第4-6参与人计7分</w:t>
            </w:r>
          </w:p>
        </w:tc>
        <w:tc>
          <w:tcPr>
            <w:tcW w:w="2126" w:type="dxa"/>
            <w:noWrap w:val="0"/>
            <w:vAlign w:val="top"/>
          </w:tcPr>
          <w:p w14:paraId="74642BC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第6以后参与人计1分</w:t>
            </w:r>
          </w:p>
        </w:tc>
      </w:tr>
      <w:tr w14:paraId="5F4C9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04E120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省部级项目</w:t>
            </w:r>
          </w:p>
        </w:tc>
        <w:tc>
          <w:tcPr>
            <w:tcW w:w="1275" w:type="dxa"/>
            <w:noWrap w:val="0"/>
            <w:vAlign w:val="center"/>
          </w:tcPr>
          <w:p w14:paraId="7693867C">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c>
          <w:tcPr>
            <w:tcW w:w="1985" w:type="dxa"/>
            <w:noWrap w:val="0"/>
            <w:vAlign w:val="center"/>
          </w:tcPr>
          <w:p w14:paraId="2FD2C9E2">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第1-3参与人计10分</w:t>
            </w:r>
          </w:p>
        </w:tc>
        <w:tc>
          <w:tcPr>
            <w:tcW w:w="1843" w:type="dxa"/>
            <w:noWrap w:val="0"/>
            <w:vAlign w:val="center"/>
          </w:tcPr>
          <w:p w14:paraId="547777E2">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第4-6参与人计3分</w:t>
            </w:r>
          </w:p>
        </w:tc>
        <w:tc>
          <w:tcPr>
            <w:tcW w:w="2126" w:type="dxa"/>
            <w:noWrap w:val="0"/>
            <w:vAlign w:val="top"/>
          </w:tcPr>
          <w:p w14:paraId="38FEE464">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第6以后参与人计0.5分</w:t>
            </w:r>
          </w:p>
        </w:tc>
      </w:tr>
      <w:tr w14:paraId="46C10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0147957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厅局级项目</w:t>
            </w:r>
          </w:p>
        </w:tc>
        <w:tc>
          <w:tcPr>
            <w:tcW w:w="1275" w:type="dxa"/>
            <w:noWrap w:val="0"/>
            <w:vAlign w:val="center"/>
          </w:tcPr>
          <w:p w14:paraId="53755356">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w:t>
            </w:r>
          </w:p>
        </w:tc>
        <w:tc>
          <w:tcPr>
            <w:tcW w:w="1985" w:type="dxa"/>
            <w:noWrap w:val="0"/>
            <w:vAlign w:val="center"/>
          </w:tcPr>
          <w:p w14:paraId="291F20C5">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第1-3参与人计5分</w:t>
            </w:r>
          </w:p>
        </w:tc>
        <w:tc>
          <w:tcPr>
            <w:tcW w:w="1843" w:type="dxa"/>
            <w:noWrap w:val="0"/>
            <w:vAlign w:val="center"/>
          </w:tcPr>
          <w:p w14:paraId="77F623A8">
            <w:pPr>
              <w:spacing w:line="380" w:lineRule="exact"/>
              <w:jc w:val="center"/>
              <w:rPr>
                <w:rFonts w:hint="eastAsia" w:ascii="华文仿宋" w:hAnsi="华文仿宋" w:eastAsia="华文仿宋" w:cs="华文仿宋"/>
                <w:color w:val="000000"/>
                <w:szCs w:val="21"/>
              </w:rPr>
            </w:pPr>
          </w:p>
        </w:tc>
        <w:tc>
          <w:tcPr>
            <w:tcW w:w="2126" w:type="dxa"/>
            <w:noWrap w:val="0"/>
            <w:vAlign w:val="top"/>
          </w:tcPr>
          <w:p w14:paraId="25403B60">
            <w:pPr>
              <w:spacing w:line="380" w:lineRule="exact"/>
              <w:jc w:val="center"/>
              <w:rPr>
                <w:rFonts w:hint="eastAsia" w:ascii="华文仿宋" w:hAnsi="华文仿宋" w:eastAsia="华文仿宋" w:cs="华文仿宋"/>
                <w:color w:val="000000"/>
                <w:szCs w:val="21"/>
              </w:rPr>
            </w:pPr>
          </w:p>
        </w:tc>
      </w:tr>
      <w:tr w14:paraId="50E4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noWrap w:val="0"/>
            <w:vAlign w:val="center"/>
          </w:tcPr>
          <w:p w14:paraId="0B659357">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横向项目</w:t>
            </w:r>
          </w:p>
        </w:tc>
        <w:tc>
          <w:tcPr>
            <w:tcW w:w="1275" w:type="dxa"/>
            <w:noWrap w:val="0"/>
            <w:vAlign w:val="center"/>
          </w:tcPr>
          <w:p w14:paraId="38DD45ED">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1985" w:type="dxa"/>
            <w:noWrap w:val="0"/>
            <w:vAlign w:val="center"/>
          </w:tcPr>
          <w:p w14:paraId="5BD2D092">
            <w:pPr>
              <w:spacing w:line="380" w:lineRule="exact"/>
              <w:jc w:val="center"/>
              <w:rPr>
                <w:rFonts w:hint="eastAsia" w:ascii="华文仿宋" w:hAnsi="华文仿宋" w:eastAsia="华文仿宋" w:cs="华文仿宋"/>
                <w:color w:val="000000"/>
                <w:szCs w:val="21"/>
              </w:rPr>
            </w:pPr>
          </w:p>
        </w:tc>
        <w:tc>
          <w:tcPr>
            <w:tcW w:w="1843" w:type="dxa"/>
            <w:noWrap w:val="0"/>
            <w:vAlign w:val="center"/>
          </w:tcPr>
          <w:p w14:paraId="38585366">
            <w:pPr>
              <w:spacing w:line="380" w:lineRule="exact"/>
              <w:jc w:val="center"/>
              <w:rPr>
                <w:rFonts w:hint="eastAsia" w:ascii="华文仿宋" w:hAnsi="华文仿宋" w:eastAsia="华文仿宋" w:cs="华文仿宋"/>
                <w:color w:val="000000"/>
                <w:szCs w:val="21"/>
              </w:rPr>
            </w:pPr>
          </w:p>
        </w:tc>
        <w:tc>
          <w:tcPr>
            <w:tcW w:w="2126" w:type="dxa"/>
            <w:noWrap w:val="0"/>
            <w:vAlign w:val="top"/>
          </w:tcPr>
          <w:p w14:paraId="7ECAAD1D">
            <w:pPr>
              <w:spacing w:line="380" w:lineRule="exact"/>
              <w:jc w:val="center"/>
              <w:rPr>
                <w:rFonts w:hint="eastAsia" w:ascii="华文仿宋" w:hAnsi="华文仿宋" w:eastAsia="华文仿宋" w:cs="华文仿宋"/>
                <w:color w:val="000000"/>
                <w:szCs w:val="21"/>
              </w:rPr>
            </w:pPr>
          </w:p>
        </w:tc>
      </w:tr>
      <w:tr w14:paraId="0884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noWrap w:val="0"/>
            <w:vAlign w:val="center"/>
          </w:tcPr>
          <w:p w14:paraId="2126C915">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广东省大学生攀登计划项目</w:t>
            </w:r>
          </w:p>
        </w:tc>
        <w:tc>
          <w:tcPr>
            <w:tcW w:w="1275" w:type="dxa"/>
            <w:noWrap w:val="0"/>
            <w:vAlign w:val="center"/>
          </w:tcPr>
          <w:p w14:paraId="240477C6">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w:t>
            </w:r>
          </w:p>
        </w:tc>
        <w:tc>
          <w:tcPr>
            <w:tcW w:w="1985" w:type="dxa"/>
            <w:noWrap w:val="0"/>
            <w:vAlign w:val="center"/>
          </w:tcPr>
          <w:p w14:paraId="75CEC9FD">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第1-3参与人计5分</w:t>
            </w:r>
          </w:p>
        </w:tc>
        <w:tc>
          <w:tcPr>
            <w:tcW w:w="1843" w:type="dxa"/>
            <w:noWrap w:val="0"/>
            <w:vAlign w:val="center"/>
          </w:tcPr>
          <w:p w14:paraId="08C49DD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第4-6参与人计0.5分</w:t>
            </w:r>
          </w:p>
        </w:tc>
        <w:tc>
          <w:tcPr>
            <w:tcW w:w="2126" w:type="dxa"/>
            <w:noWrap w:val="0"/>
            <w:vAlign w:val="top"/>
          </w:tcPr>
          <w:p w14:paraId="260614E6">
            <w:pPr>
              <w:spacing w:line="380" w:lineRule="exact"/>
              <w:jc w:val="center"/>
              <w:rPr>
                <w:rFonts w:hint="eastAsia" w:ascii="华文仿宋" w:hAnsi="华文仿宋" w:eastAsia="华文仿宋" w:cs="华文仿宋"/>
                <w:color w:val="000000"/>
                <w:szCs w:val="21"/>
              </w:rPr>
            </w:pPr>
          </w:p>
        </w:tc>
      </w:tr>
    </w:tbl>
    <w:p w14:paraId="36B5819D">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说明：1.在硕士培养学制期内，立项未结题者可获得一半分数，结题后可获得完整分数。</w:t>
      </w:r>
    </w:p>
    <w:p w14:paraId="224893F3">
      <w:pPr>
        <w:tabs>
          <w:tab w:val="left" w:pos="312"/>
        </w:tabs>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2.教学研究课题的级别由教务处认定，其余课题的级别由科技处认定，以提交的项目书和立项通知书为准。</w:t>
      </w:r>
    </w:p>
    <w:p w14:paraId="4E6575F4">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（四）著作和教材</w:t>
      </w:r>
    </w:p>
    <w:p w14:paraId="2915CEA0">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与体育学科相关的编著、学术专著、译著和教材加分情况如下：专著20分/部；编著或译著和教材第一主编15分/部，第二主编10分/部、第三主编及副主编5分/部（第三主编后的主编按第三主编计分）、参编（1万字以上）2分/部。</w:t>
      </w:r>
    </w:p>
    <w:p w14:paraId="298450E8">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著作和教材应正式出版，具有ISBN书号，否则不加分。</w:t>
      </w:r>
    </w:p>
    <w:p w14:paraId="749E4888">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（五）发明专利</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1356"/>
        <w:gridCol w:w="4850"/>
      </w:tblGrid>
      <w:tr w14:paraId="01D6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6" w:type="dxa"/>
            <w:noWrap w:val="0"/>
            <w:vAlign w:val="center"/>
          </w:tcPr>
          <w:p w14:paraId="1626B413">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类别</w:t>
            </w:r>
          </w:p>
        </w:tc>
        <w:tc>
          <w:tcPr>
            <w:tcW w:w="1356" w:type="dxa"/>
            <w:noWrap w:val="0"/>
            <w:vAlign w:val="center"/>
          </w:tcPr>
          <w:p w14:paraId="58DB0E75">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计分标准</w:t>
            </w:r>
          </w:p>
        </w:tc>
        <w:tc>
          <w:tcPr>
            <w:tcW w:w="4850" w:type="dxa"/>
            <w:noWrap w:val="0"/>
            <w:vAlign w:val="center"/>
          </w:tcPr>
          <w:p w14:paraId="3BC29E62">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备注</w:t>
            </w:r>
          </w:p>
        </w:tc>
      </w:tr>
      <w:tr w14:paraId="1A75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2316" w:type="dxa"/>
            <w:noWrap w:val="0"/>
            <w:vAlign w:val="center"/>
          </w:tcPr>
          <w:p w14:paraId="1D568838">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国家发明专利</w:t>
            </w:r>
          </w:p>
        </w:tc>
        <w:tc>
          <w:tcPr>
            <w:tcW w:w="1356" w:type="dxa"/>
            <w:noWrap w:val="0"/>
            <w:vAlign w:val="center"/>
          </w:tcPr>
          <w:p w14:paraId="7E3E04D1">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25</w:t>
            </w:r>
          </w:p>
        </w:tc>
        <w:tc>
          <w:tcPr>
            <w:tcW w:w="4850" w:type="dxa"/>
            <w:vMerge w:val="restart"/>
            <w:noWrap w:val="0"/>
            <w:vAlign w:val="center"/>
          </w:tcPr>
          <w:p w14:paraId="574C483D">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highlight w:val="none"/>
              </w:rPr>
              <w:t>如有多名权利人（设计人），第一权利人、第二权利人、第三权利人按60%、30%、10%比例计分，</w:t>
            </w:r>
            <w:r>
              <w:rPr>
                <w:rFonts w:hint="eastAsia" w:ascii="华文仿宋" w:hAnsi="华文仿宋" w:eastAsia="华文仿宋" w:cs="华文仿宋"/>
                <w:szCs w:val="21"/>
              </w:rPr>
              <w:t>专利人署名单位必须为广州体育学院，并以专利证书为准。</w:t>
            </w:r>
          </w:p>
        </w:tc>
      </w:tr>
      <w:tr w14:paraId="7298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316" w:type="dxa"/>
            <w:noWrap w:val="0"/>
            <w:vAlign w:val="center"/>
          </w:tcPr>
          <w:p w14:paraId="218EF1F1">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国家实用新型专利</w:t>
            </w:r>
          </w:p>
        </w:tc>
        <w:tc>
          <w:tcPr>
            <w:tcW w:w="1356" w:type="dxa"/>
            <w:noWrap w:val="0"/>
            <w:vAlign w:val="center"/>
          </w:tcPr>
          <w:p w14:paraId="60AB0DF8">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8</w:t>
            </w:r>
          </w:p>
        </w:tc>
        <w:tc>
          <w:tcPr>
            <w:tcW w:w="4850" w:type="dxa"/>
            <w:vMerge w:val="continue"/>
            <w:noWrap w:val="0"/>
            <w:vAlign w:val="center"/>
          </w:tcPr>
          <w:p w14:paraId="226B3C8C">
            <w:pPr>
              <w:spacing w:line="380" w:lineRule="exact"/>
              <w:jc w:val="center"/>
              <w:rPr>
                <w:rFonts w:hint="eastAsia" w:ascii="华文仿宋" w:hAnsi="华文仿宋" w:eastAsia="华文仿宋" w:cs="华文仿宋"/>
                <w:szCs w:val="21"/>
              </w:rPr>
            </w:pPr>
          </w:p>
        </w:tc>
      </w:tr>
      <w:tr w14:paraId="5CC0D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316" w:type="dxa"/>
            <w:noWrap w:val="0"/>
            <w:vAlign w:val="center"/>
          </w:tcPr>
          <w:p w14:paraId="0A1D6B15">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外观设计专利</w:t>
            </w:r>
          </w:p>
        </w:tc>
        <w:tc>
          <w:tcPr>
            <w:tcW w:w="1356" w:type="dxa"/>
            <w:noWrap w:val="0"/>
            <w:vAlign w:val="center"/>
          </w:tcPr>
          <w:p w14:paraId="05698684">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4850" w:type="dxa"/>
            <w:vMerge w:val="continue"/>
            <w:noWrap w:val="0"/>
            <w:vAlign w:val="center"/>
          </w:tcPr>
          <w:p w14:paraId="1C12A9E7">
            <w:pPr>
              <w:spacing w:line="380" w:lineRule="exact"/>
              <w:jc w:val="center"/>
              <w:rPr>
                <w:rFonts w:hint="eastAsia" w:ascii="华文仿宋" w:hAnsi="华文仿宋" w:eastAsia="华文仿宋" w:cs="华文仿宋"/>
                <w:szCs w:val="21"/>
              </w:rPr>
            </w:pPr>
          </w:p>
        </w:tc>
      </w:tr>
      <w:tr w14:paraId="6DBE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316" w:type="dxa"/>
            <w:noWrap w:val="0"/>
            <w:vAlign w:val="center"/>
          </w:tcPr>
          <w:p w14:paraId="601CE4D4">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软件著作权登记</w:t>
            </w:r>
          </w:p>
        </w:tc>
        <w:tc>
          <w:tcPr>
            <w:tcW w:w="1356" w:type="dxa"/>
            <w:noWrap w:val="0"/>
            <w:vAlign w:val="center"/>
          </w:tcPr>
          <w:p w14:paraId="61E8E980">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4</w:t>
            </w:r>
          </w:p>
        </w:tc>
        <w:tc>
          <w:tcPr>
            <w:tcW w:w="4850" w:type="dxa"/>
            <w:vMerge w:val="continue"/>
            <w:noWrap w:val="0"/>
            <w:vAlign w:val="center"/>
          </w:tcPr>
          <w:p w14:paraId="0ECA8E87">
            <w:pPr>
              <w:spacing w:line="380" w:lineRule="exact"/>
              <w:jc w:val="center"/>
              <w:rPr>
                <w:rFonts w:hint="eastAsia" w:ascii="华文仿宋" w:hAnsi="华文仿宋" w:eastAsia="华文仿宋" w:cs="华文仿宋"/>
                <w:szCs w:val="21"/>
              </w:rPr>
            </w:pPr>
          </w:p>
        </w:tc>
      </w:tr>
    </w:tbl>
    <w:p w14:paraId="3DFA7C02">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（六）竞赛成绩</w:t>
      </w:r>
    </w:p>
    <w:p w14:paraId="498E100F">
      <w:pPr>
        <w:spacing w:line="380" w:lineRule="exact"/>
        <w:jc w:val="center"/>
        <w:rPr>
          <w:rFonts w:hint="eastAsia" w:ascii="华文仿宋" w:hAnsi="华文仿宋" w:eastAsia="华文仿宋" w:cs="华文仿宋"/>
          <w:szCs w:val="21"/>
        </w:rPr>
      </w:pPr>
      <w:r>
        <w:rPr>
          <w:rFonts w:hint="eastAsia" w:ascii="华文仿宋" w:hAnsi="华文仿宋" w:eastAsia="华文仿宋" w:cs="华文仿宋"/>
          <w:szCs w:val="21"/>
        </w:rPr>
        <w:t>竞赛成绩计分标准一览表</w:t>
      </w:r>
    </w:p>
    <w:tbl>
      <w:tblPr>
        <w:tblStyle w:val="3"/>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59"/>
        <w:gridCol w:w="1559"/>
        <w:gridCol w:w="1560"/>
        <w:gridCol w:w="1386"/>
        <w:gridCol w:w="844"/>
        <w:gridCol w:w="998"/>
      </w:tblGrid>
      <w:tr w14:paraId="4736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15E32E9">
            <w:pPr>
              <w:spacing w:line="380" w:lineRule="exact"/>
              <w:ind w:firstLine="420" w:firstLineChars="200"/>
              <w:jc w:val="left"/>
              <w:rPr>
                <w:rFonts w:hint="eastAsia" w:ascii="华文仿宋" w:hAnsi="华文仿宋" w:eastAsia="华文仿宋" w:cs="华文仿宋"/>
                <w:color w:val="000000"/>
                <w:szCs w:val="21"/>
              </w:rPr>
            </w:pPr>
          </w:p>
        </w:tc>
        <w:tc>
          <w:tcPr>
            <w:tcW w:w="1559" w:type="dxa"/>
            <w:tcBorders>
              <w:top w:val="single" w:color="auto" w:sz="4" w:space="0"/>
              <w:left w:val="nil"/>
              <w:bottom w:val="single" w:color="auto" w:sz="4" w:space="0"/>
              <w:right w:val="single" w:color="auto" w:sz="4" w:space="0"/>
            </w:tcBorders>
            <w:noWrap w:val="0"/>
            <w:vAlign w:val="center"/>
          </w:tcPr>
          <w:p w14:paraId="1CCAD28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第1名</w:t>
            </w:r>
          </w:p>
          <w:p w14:paraId="76B1950C">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（或一等奖）</w:t>
            </w:r>
          </w:p>
        </w:tc>
        <w:tc>
          <w:tcPr>
            <w:tcW w:w="1559" w:type="dxa"/>
            <w:tcBorders>
              <w:top w:val="single" w:color="auto" w:sz="4" w:space="0"/>
              <w:left w:val="nil"/>
              <w:bottom w:val="single" w:color="auto" w:sz="4" w:space="0"/>
              <w:right w:val="single" w:color="auto" w:sz="4" w:space="0"/>
            </w:tcBorders>
            <w:noWrap w:val="0"/>
            <w:vAlign w:val="center"/>
          </w:tcPr>
          <w:p w14:paraId="36D9999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第2名</w:t>
            </w:r>
          </w:p>
          <w:p w14:paraId="7284B61A">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（或二等奖）</w:t>
            </w:r>
          </w:p>
        </w:tc>
        <w:tc>
          <w:tcPr>
            <w:tcW w:w="1560" w:type="dxa"/>
            <w:tcBorders>
              <w:top w:val="single" w:color="auto" w:sz="4" w:space="0"/>
              <w:left w:val="nil"/>
              <w:bottom w:val="single" w:color="auto" w:sz="4" w:space="0"/>
              <w:right w:val="single" w:color="auto" w:sz="4" w:space="0"/>
            </w:tcBorders>
            <w:noWrap w:val="0"/>
            <w:vAlign w:val="center"/>
          </w:tcPr>
          <w:p w14:paraId="10148AD9">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第3名</w:t>
            </w:r>
          </w:p>
          <w:p w14:paraId="4CB8725D">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（或三等奖）</w:t>
            </w:r>
          </w:p>
        </w:tc>
        <w:tc>
          <w:tcPr>
            <w:tcW w:w="1386" w:type="dxa"/>
            <w:tcBorders>
              <w:top w:val="single" w:color="auto" w:sz="4" w:space="0"/>
              <w:left w:val="nil"/>
              <w:bottom w:val="single" w:color="auto" w:sz="4" w:space="0"/>
              <w:right w:val="single" w:color="auto" w:sz="4" w:space="0"/>
            </w:tcBorders>
            <w:noWrap w:val="0"/>
            <w:vAlign w:val="center"/>
          </w:tcPr>
          <w:p w14:paraId="51C4091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第4名</w:t>
            </w:r>
          </w:p>
          <w:p w14:paraId="64C84E8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（优胜奖）</w:t>
            </w:r>
          </w:p>
        </w:tc>
        <w:tc>
          <w:tcPr>
            <w:tcW w:w="844" w:type="dxa"/>
            <w:tcBorders>
              <w:top w:val="single" w:color="auto" w:sz="4" w:space="0"/>
              <w:left w:val="nil"/>
              <w:bottom w:val="single" w:color="auto" w:sz="4" w:space="0"/>
              <w:right w:val="single" w:color="auto" w:sz="4" w:space="0"/>
            </w:tcBorders>
            <w:noWrap w:val="0"/>
            <w:vAlign w:val="center"/>
          </w:tcPr>
          <w:p w14:paraId="6538F62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第5名</w:t>
            </w:r>
          </w:p>
        </w:tc>
        <w:tc>
          <w:tcPr>
            <w:tcW w:w="998" w:type="dxa"/>
            <w:tcBorders>
              <w:top w:val="single" w:color="auto" w:sz="4" w:space="0"/>
              <w:left w:val="nil"/>
              <w:bottom w:val="single" w:color="auto" w:sz="4" w:space="0"/>
              <w:right w:val="single" w:color="auto" w:sz="4" w:space="0"/>
            </w:tcBorders>
            <w:noWrap w:val="0"/>
            <w:vAlign w:val="center"/>
          </w:tcPr>
          <w:p w14:paraId="0EE69279">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第6名</w:t>
            </w:r>
          </w:p>
        </w:tc>
      </w:tr>
      <w:tr w14:paraId="2C88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A448818">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“互联网+大学生创新创业大赛”和“挑战杯”国家级获奖</w:t>
            </w:r>
          </w:p>
        </w:tc>
        <w:tc>
          <w:tcPr>
            <w:tcW w:w="1559" w:type="dxa"/>
            <w:tcBorders>
              <w:top w:val="single" w:color="auto" w:sz="4" w:space="0"/>
              <w:left w:val="nil"/>
              <w:bottom w:val="single" w:color="auto" w:sz="4" w:space="0"/>
              <w:right w:val="single" w:color="auto" w:sz="4" w:space="0"/>
            </w:tcBorders>
            <w:noWrap w:val="0"/>
            <w:vAlign w:val="center"/>
          </w:tcPr>
          <w:p w14:paraId="4DCA20EF">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主持人每项加40分，第二参与人每项加30分，第三参与人每项加20分，其他参与人每项加1分。</w:t>
            </w:r>
          </w:p>
        </w:tc>
        <w:tc>
          <w:tcPr>
            <w:tcW w:w="1559" w:type="dxa"/>
            <w:tcBorders>
              <w:top w:val="single" w:color="auto" w:sz="4" w:space="0"/>
              <w:left w:val="nil"/>
              <w:bottom w:val="single" w:color="auto" w:sz="4" w:space="0"/>
              <w:right w:val="single" w:color="auto" w:sz="4" w:space="0"/>
            </w:tcBorders>
            <w:noWrap w:val="0"/>
            <w:vAlign w:val="center"/>
          </w:tcPr>
          <w:p w14:paraId="22F08128">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主持人每项加30分，第二参与人每项加20分，第三参与人每项加10分，其他参与人每项加1分。</w:t>
            </w:r>
          </w:p>
        </w:tc>
        <w:tc>
          <w:tcPr>
            <w:tcW w:w="1560" w:type="dxa"/>
            <w:tcBorders>
              <w:top w:val="single" w:color="auto" w:sz="4" w:space="0"/>
              <w:left w:val="nil"/>
              <w:bottom w:val="single" w:color="auto" w:sz="4" w:space="0"/>
              <w:right w:val="single" w:color="auto" w:sz="4" w:space="0"/>
            </w:tcBorders>
            <w:noWrap w:val="0"/>
            <w:vAlign w:val="center"/>
          </w:tcPr>
          <w:p w14:paraId="6F519212">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主持人每项加20分，第二参与人每项加10分，第三参与人每项加5分，其他参与人每项加1分。</w:t>
            </w:r>
          </w:p>
        </w:tc>
        <w:tc>
          <w:tcPr>
            <w:tcW w:w="1386" w:type="dxa"/>
            <w:tcBorders>
              <w:top w:val="single" w:color="auto" w:sz="4" w:space="0"/>
              <w:left w:val="nil"/>
              <w:bottom w:val="single" w:color="auto" w:sz="4" w:space="0"/>
              <w:right w:val="single" w:color="auto" w:sz="4" w:space="0"/>
            </w:tcBorders>
            <w:noWrap w:val="0"/>
            <w:vAlign w:val="center"/>
          </w:tcPr>
          <w:p w14:paraId="5AF69B5C">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主持人每项加10分，第二参与人每项加5分，第三参与人每项加2分，其他参与人每项加1分。</w:t>
            </w:r>
          </w:p>
        </w:tc>
        <w:tc>
          <w:tcPr>
            <w:tcW w:w="844" w:type="dxa"/>
            <w:tcBorders>
              <w:top w:val="single" w:color="auto" w:sz="4" w:space="0"/>
              <w:left w:val="nil"/>
              <w:bottom w:val="single" w:color="auto" w:sz="4" w:space="0"/>
              <w:right w:val="single" w:color="auto" w:sz="4" w:space="0"/>
            </w:tcBorders>
            <w:noWrap w:val="0"/>
            <w:vAlign w:val="center"/>
          </w:tcPr>
          <w:p w14:paraId="3E31330C">
            <w:pPr>
              <w:spacing w:line="380" w:lineRule="exact"/>
              <w:ind w:firstLine="420" w:firstLineChars="200"/>
              <w:rPr>
                <w:rFonts w:hint="eastAsia" w:ascii="华文仿宋" w:hAnsi="华文仿宋" w:eastAsia="华文仿宋" w:cs="华文仿宋"/>
                <w:color w:val="000000"/>
                <w:szCs w:val="21"/>
              </w:rPr>
            </w:pPr>
          </w:p>
        </w:tc>
        <w:tc>
          <w:tcPr>
            <w:tcW w:w="998" w:type="dxa"/>
            <w:tcBorders>
              <w:top w:val="single" w:color="auto" w:sz="4" w:space="0"/>
              <w:left w:val="nil"/>
              <w:bottom w:val="single" w:color="auto" w:sz="4" w:space="0"/>
              <w:right w:val="single" w:color="auto" w:sz="4" w:space="0"/>
            </w:tcBorders>
            <w:noWrap w:val="0"/>
            <w:vAlign w:val="center"/>
          </w:tcPr>
          <w:p w14:paraId="0A37A170">
            <w:pPr>
              <w:spacing w:line="380" w:lineRule="exact"/>
              <w:ind w:firstLine="420" w:firstLineChars="200"/>
              <w:rPr>
                <w:rFonts w:hint="eastAsia" w:ascii="华文仿宋" w:hAnsi="华文仿宋" w:eastAsia="华文仿宋" w:cs="华文仿宋"/>
                <w:color w:val="000000"/>
                <w:szCs w:val="21"/>
              </w:rPr>
            </w:pPr>
          </w:p>
        </w:tc>
      </w:tr>
      <w:tr w14:paraId="572BA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15142E43">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“互联网+大学生创新创业大赛”省赛、“挑战杯”省赛和省“众创杯”比赛获奖</w:t>
            </w:r>
          </w:p>
        </w:tc>
        <w:tc>
          <w:tcPr>
            <w:tcW w:w="1559" w:type="dxa"/>
            <w:tcBorders>
              <w:top w:val="single" w:color="auto" w:sz="4" w:space="0"/>
              <w:left w:val="nil"/>
              <w:bottom w:val="single" w:color="auto" w:sz="4" w:space="0"/>
              <w:right w:val="single" w:color="auto" w:sz="4" w:space="0"/>
            </w:tcBorders>
            <w:noWrap w:val="0"/>
            <w:vAlign w:val="center"/>
          </w:tcPr>
          <w:p w14:paraId="77E7AE97">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主持人每项加20分，第二参与人每项加15分，第三参与人每项加10分，其他参与人每项加0.5分。</w:t>
            </w:r>
          </w:p>
        </w:tc>
        <w:tc>
          <w:tcPr>
            <w:tcW w:w="1559" w:type="dxa"/>
            <w:tcBorders>
              <w:top w:val="single" w:color="auto" w:sz="4" w:space="0"/>
              <w:left w:val="nil"/>
              <w:bottom w:val="single" w:color="auto" w:sz="4" w:space="0"/>
              <w:right w:val="single" w:color="auto" w:sz="4" w:space="0"/>
            </w:tcBorders>
            <w:noWrap w:val="0"/>
            <w:vAlign w:val="center"/>
          </w:tcPr>
          <w:p w14:paraId="0EF81F5B">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主持人每项加15分，第二参与人每项加10分，第三参与人每项加5分，其他参与人每项加0.5分。</w:t>
            </w:r>
          </w:p>
        </w:tc>
        <w:tc>
          <w:tcPr>
            <w:tcW w:w="1560" w:type="dxa"/>
            <w:tcBorders>
              <w:top w:val="single" w:color="auto" w:sz="4" w:space="0"/>
              <w:left w:val="nil"/>
              <w:bottom w:val="single" w:color="auto" w:sz="4" w:space="0"/>
              <w:right w:val="single" w:color="auto" w:sz="4" w:space="0"/>
            </w:tcBorders>
            <w:noWrap w:val="0"/>
            <w:vAlign w:val="center"/>
          </w:tcPr>
          <w:p w14:paraId="3E7D7739">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主持人每项加10分，第二参与人每项加6分，第三参与人每项加3分，其他参与人每项加0.5分。</w:t>
            </w:r>
          </w:p>
        </w:tc>
        <w:tc>
          <w:tcPr>
            <w:tcW w:w="1386" w:type="dxa"/>
            <w:tcBorders>
              <w:top w:val="single" w:color="auto" w:sz="4" w:space="0"/>
              <w:left w:val="nil"/>
              <w:bottom w:val="single" w:color="auto" w:sz="4" w:space="0"/>
              <w:right w:val="single" w:color="auto" w:sz="4" w:space="0"/>
            </w:tcBorders>
            <w:noWrap w:val="0"/>
            <w:vAlign w:val="center"/>
          </w:tcPr>
          <w:p w14:paraId="56B2D408">
            <w:pPr>
              <w:spacing w:line="380" w:lineRule="exac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主持人每项加5分，第二参与人每项加3分，第三参与人每项加1分，其他参与人每项加0.5分。</w:t>
            </w:r>
          </w:p>
        </w:tc>
        <w:tc>
          <w:tcPr>
            <w:tcW w:w="844" w:type="dxa"/>
            <w:tcBorders>
              <w:top w:val="single" w:color="auto" w:sz="4" w:space="0"/>
              <w:left w:val="nil"/>
              <w:bottom w:val="single" w:color="auto" w:sz="4" w:space="0"/>
              <w:right w:val="single" w:color="auto" w:sz="4" w:space="0"/>
            </w:tcBorders>
            <w:noWrap w:val="0"/>
            <w:vAlign w:val="center"/>
          </w:tcPr>
          <w:p w14:paraId="7F83F8EE">
            <w:pPr>
              <w:spacing w:line="380" w:lineRule="exact"/>
              <w:ind w:firstLine="420" w:firstLineChars="200"/>
              <w:rPr>
                <w:rFonts w:hint="eastAsia" w:ascii="华文仿宋" w:hAnsi="华文仿宋" w:eastAsia="华文仿宋" w:cs="华文仿宋"/>
                <w:color w:val="000000"/>
                <w:szCs w:val="21"/>
              </w:rPr>
            </w:pPr>
          </w:p>
        </w:tc>
        <w:tc>
          <w:tcPr>
            <w:tcW w:w="998" w:type="dxa"/>
            <w:tcBorders>
              <w:top w:val="single" w:color="auto" w:sz="4" w:space="0"/>
              <w:left w:val="nil"/>
              <w:bottom w:val="single" w:color="auto" w:sz="4" w:space="0"/>
              <w:right w:val="single" w:color="auto" w:sz="4" w:space="0"/>
            </w:tcBorders>
            <w:noWrap w:val="0"/>
            <w:vAlign w:val="center"/>
          </w:tcPr>
          <w:p w14:paraId="19931D82">
            <w:pPr>
              <w:spacing w:line="380" w:lineRule="exact"/>
              <w:ind w:firstLine="420" w:firstLineChars="200"/>
              <w:rPr>
                <w:rFonts w:hint="eastAsia" w:ascii="华文仿宋" w:hAnsi="华文仿宋" w:eastAsia="华文仿宋" w:cs="华文仿宋"/>
                <w:color w:val="000000"/>
                <w:szCs w:val="21"/>
              </w:rPr>
            </w:pPr>
          </w:p>
        </w:tc>
      </w:tr>
      <w:tr w14:paraId="0336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897B000">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世界比赛（奥运会、世界杯和锦标赛）</w:t>
            </w:r>
          </w:p>
        </w:tc>
        <w:tc>
          <w:tcPr>
            <w:tcW w:w="1559" w:type="dxa"/>
            <w:tcBorders>
              <w:top w:val="single" w:color="auto" w:sz="4" w:space="0"/>
              <w:left w:val="nil"/>
              <w:bottom w:val="single" w:color="auto" w:sz="4" w:space="0"/>
              <w:right w:val="single" w:color="auto" w:sz="4" w:space="0"/>
            </w:tcBorders>
            <w:noWrap w:val="0"/>
            <w:vAlign w:val="center"/>
          </w:tcPr>
          <w:p w14:paraId="1060BED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50</w:t>
            </w:r>
          </w:p>
        </w:tc>
        <w:tc>
          <w:tcPr>
            <w:tcW w:w="1559" w:type="dxa"/>
            <w:tcBorders>
              <w:top w:val="single" w:color="auto" w:sz="4" w:space="0"/>
              <w:left w:val="nil"/>
              <w:bottom w:val="single" w:color="auto" w:sz="4" w:space="0"/>
              <w:right w:val="single" w:color="auto" w:sz="4" w:space="0"/>
            </w:tcBorders>
            <w:noWrap w:val="0"/>
            <w:vAlign w:val="center"/>
          </w:tcPr>
          <w:p w14:paraId="0CECDF9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48</w:t>
            </w:r>
          </w:p>
        </w:tc>
        <w:tc>
          <w:tcPr>
            <w:tcW w:w="1560" w:type="dxa"/>
            <w:tcBorders>
              <w:top w:val="single" w:color="auto" w:sz="4" w:space="0"/>
              <w:left w:val="nil"/>
              <w:bottom w:val="single" w:color="auto" w:sz="4" w:space="0"/>
              <w:right w:val="single" w:color="auto" w:sz="4" w:space="0"/>
            </w:tcBorders>
            <w:noWrap w:val="0"/>
            <w:vAlign w:val="center"/>
          </w:tcPr>
          <w:p w14:paraId="35B2E0E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46</w:t>
            </w:r>
          </w:p>
        </w:tc>
        <w:tc>
          <w:tcPr>
            <w:tcW w:w="1386" w:type="dxa"/>
            <w:tcBorders>
              <w:top w:val="single" w:color="auto" w:sz="4" w:space="0"/>
              <w:left w:val="nil"/>
              <w:bottom w:val="single" w:color="auto" w:sz="4" w:space="0"/>
              <w:right w:val="single" w:color="auto" w:sz="4" w:space="0"/>
            </w:tcBorders>
            <w:noWrap w:val="0"/>
            <w:vAlign w:val="center"/>
          </w:tcPr>
          <w:p w14:paraId="56A6E13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44</w:t>
            </w:r>
          </w:p>
        </w:tc>
        <w:tc>
          <w:tcPr>
            <w:tcW w:w="844" w:type="dxa"/>
            <w:tcBorders>
              <w:top w:val="single" w:color="auto" w:sz="4" w:space="0"/>
              <w:left w:val="nil"/>
              <w:bottom w:val="single" w:color="auto" w:sz="4" w:space="0"/>
              <w:right w:val="single" w:color="auto" w:sz="4" w:space="0"/>
            </w:tcBorders>
            <w:noWrap w:val="0"/>
            <w:vAlign w:val="center"/>
          </w:tcPr>
          <w:p w14:paraId="3A09AE46">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42</w:t>
            </w:r>
          </w:p>
        </w:tc>
        <w:tc>
          <w:tcPr>
            <w:tcW w:w="998" w:type="dxa"/>
            <w:tcBorders>
              <w:top w:val="single" w:color="auto" w:sz="4" w:space="0"/>
              <w:left w:val="nil"/>
              <w:bottom w:val="single" w:color="auto" w:sz="4" w:space="0"/>
              <w:right w:val="single" w:color="auto" w:sz="4" w:space="0"/>
            </w:tcBorders>
            <w:noWrap w:val="0"/>
            <w:vAlign w:val="center"/>
          </w:tcPr>
          <w:p w14:paraId="5D3D3345">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40</w:t>
            </w:r>
          </w:p>
        </w:tc>
      </w:tr>
      <w:tr w14:paraId="49E8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ADF4C30">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亚洲比赛（世界大学生运动会、亚运会、亚洲杯和锦标赛）</w:t>
            </w:r>
          </w:p>
        </w:tc>
        <w:tc>
          <w:tcPr>
            <w:tcW w:w="1559" w:type="dxa"/>
            <w:tcBorders>
              <w:top w:val="single" w:color="auto" w:sz="4" w:space="0"/>
              <w:left w:val="nil"/>
              <w:bottom w:val="single" w:color="auto" w:sz="4" w:space="0"/>
              <w:right w:val="single" w:color="auto" w:sz="4" w:space="0"/>
            </w:tcBorders>
            <w:noWrap w:val="0"/>
            <w:vAlign w:val="center"/>
          </w:tcPr>
          <w:p w14:paraId="77F5FE7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40</w:t>
            </w:r>
          </w:p>
        </w:tc>
        <w:tc>
          <w:tcPr>
            <w:tcW w:w="1559" w:type="dxa"/>
            <w:tcBorders>
              <w:top w:val="single" w:color="auto" w:sz="4" w:space="0"/>
              <w:left w:val="nil"/>
              <w:bottom w:val="single" w:color="auto" w:sz="4" w:space="0"/>
              <w:right w:val="single" w:color="auto" w:sz="4" w:space="0"/>
            </w:tcBorders>
            <w:noWrap w:val="0"/>
            <w:vAlign w:val="center"/>
          </w:tcPr>
          <w:p w14:paraId="4CF167C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38</w:t>
            </w:r>
          </w:p>
        </w:tc>
        <w:tc>
          <w:tcPr>
            <w:tcW w:w="1560" w:type="dxa"/>
            <w:tcBorders>
              <w:top w:val="single" w:color="auto" w:sz="4" w:space="0"/>
              <w:left w:val="nil"/>
              <w:bottom w:val="single" w:color="auto" w:sz="4" w:space="0"/>
              <w:right w:val="single" w:color="auto" w:sz="4" w:space="0"/>
            </w:tcBorders>
            <w:noWrap w:val="0"/>
            <w:vAlign w:val="center"/>
          </w:tcPr>
          <w:p w14:paraId="02EFDF49">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36</w:t>
            </w:r>
          </w:p>
        </w:tc>
        <w:tc>
          <w:tcPr>
            <w:tcW w:w="1386" w:type="dxa"/>
            <w:tcBorders>
              <w:top w:val="single" w:color="auto" w:sz="4" w:space="0"/>
              <w:left w:val="nil"/>
              <w:bottom w:val="single" w:color="auto" w:sz="4" w:space="0"/>
              <w:right w:val="single" w:color="auto" w:sz="4" w:space="0"/>
            </w:tcBorders>
            <w:noWrap w:val="0"/>
            <w:vAlign w:val="center"/>
          </w:tcPr>
          <w:p w14:paraId="1BDDD012">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34</w:t>
            </w:r>
          </w:p>
        </w:tc>
        <w:tc>
          <w:tcPr>
            <w:tcW w:w="844" w:type="dxa"/>
            <w:tcBorders>
              <w:top w:val="single" w:color="auto" w:sz="4" w:space="0"/>
              <w:left w:val="nil"/>
              <w:bottom w:val="single" w:color="auto" w:sz="4" w:space="0"/>
              <w:right w:val="single" w:color="auto" w:sz="4" w:space="0"/>
            </w:tcBorders>
            <w:noWrap w:val="0"/>
            <w:vAlign w:val="center"/>
          </w:tcPr>
          <w:p w14:paraId="50DE5550">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32</w:t>
            </w:r>
          </w:p>
        </w:tc>
        <w:tc>
          <w:tcPr>
            <w:tcW w:w="998" w:type="dxa"/>
            <w:tcBorders>
              <w:top w:val="single" w:color="auto" w:sz="4" w:space="0"/>
              <w:left w:val="nil"/>
              <w:bottom w:val="single" w:color="auto" w:sz="4" w:space="0"/>
              <w:right w:val="single" w:color="auto" w:sz="4" w:space="0"/>
            </w:tcBorders>
            <w:noWrap w:val="0"/>
            <w:vAlign w:val="center"/>
          </w:tcPr>
          <w:p w14:paraId="7424F4A4">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30</w:t>
            </w:r>
          </w:p>
        </w:tc>
      </w:tr>
      <w:tr w14:paraId="0191E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2B6C61EF">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全国比赛（全运会、锦标赛、甲A联赛、冠军赛）</w:t>
            </w:r>
          </w:p>
        </w:tc>
        <w:tc>
          <w:tcPr>
            <w:tcW w:w="1559" w:type="dxa"/>
            <w:tcBorders>
              <w:top w:val="single" w:color="auto" w:sz="4" w:space="0"/>
              <w:left w:val="nil"/>
              <w:bottom w:val="single" w:color="auto" w:sz="4" w:space="0"/>
              <w:right w:val="single" w:color="auto" w:sz="4" w:space="0"/>
            </w:tcBorders>
            <w:noWrap w:val="0"/>
            <w:vAlign w:val="center"/>
          </w:tcPr>
          <w:p w14:paraId="060CD90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30</w:t>
            </w:r>
          </w:p>
        </w:tc>
        <w:tc>
          <w:tcPr>
            <w:tcW w:w="1559" w:type="dxa"/>
            <w:tcBorders>
              <w:top w:val="single" w:color="auto" w:sz="4" w:space="0"/>
              <w:left w:val="nil"/>
              <w:bottom w:val="single" w:color="auto" w:sz="4" w:space="0"/>
              <w:right w:val="single" w:color="auto" w:sz="4" w:space="0"/>
            </w:tcBorders>
            <w:noWrap w:val="0"/>
            <w:vAlign w:val="center"/>
          </w:tcPr>
          <w:p w14:paraId="314F2E1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28</w:t>
            </w:r>
          </w:p>
        </w:tc>
        <w:tc>
          <w:tcPr>
            <w:tcW w:w="1560" w:type="dxa"/>
            <w:tcBorders>
              <w:top w:val="single" w:color="auto" w:sz="4" w:space="0"/>
              <w:left w:val="nil"/>
              <w:bottom w:val="single" w:color="auto" w:sz="4" w:space="0"/>
              <w:right w:val="single" w:color="auto" w:sz="4" w:space="0"/>
            </w:tcBorders>
            <w:noWrap w:val="0"/>
            <w:vAlign w:val="center"/>
          </w:tcPr>
          <w:p w14:paraId="79A14A1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26</w:t>
            </w:r>
          </w:p>
        </w:tc>
        <w:tc>
          <w:tcPr>
            <w:tcW w:w="1386" w:type="dxa"/>
            <w:tcBorders>
              <w:top w:val="single" w:color="auto" w:sz="4" w:space="0"/>
              <w:left w:val="nil"/>
              <w:bottom w:val="single" w:color="auto" w:sz="4" w:space="0"/>
              <w:right w:val="single" w:color="auto" w:sz="4" w:space="0"/>
            </w:tcBorders>
            <w:noWrap w:val="0"/>
            <w:vAlign w:val="center"/>
          </w:tcPr>
          <w:p w14:paraId="65111B8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24</w:t>
            </w:r>
          </w:p>
        </w:tc>
        <w:tc>
          <w:tcPr>
            <w:tcW w:w="844" w:type="dxa"/>
            <w:tcBorders>
              <w:top w:val="single" w:color="auto" w:sz="4" w:space="0"/>
              <w:left w:val="nil"/>
              <w:bottom w:val="single" w:color="auto" w:sz="4" w:space="0"/>
              <w:right w:val="single" w:color="auto" w:sz="4" w:space="0"/>
            </w:tcBorders>
            <w:noWrap w:val="0"/>
            <w:vAlign w:val="center"/>
          </w:tcPr>
          <w:p w14:paraId="4C91286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22</w:t>
            </w:r>
          </w:p>
        </w:tc>
        <w:tc>
          <w:tcPr>
            <w:tcW w:w="998" w:type="dxa"/>
            <w:tcBorders>
              <w:top w:val="single" w:color="auto" w:sz="4" w:space="0"/>
              <w:left w:val="nil"/>
              <w:bottom w:val="single" w:color="auto" w:sz="4" w:space="0"/>
              <w:right w:val="single" w:color="auto" w:sz="4" w:space="0"/>
            </w:tcBorders>
            <w:noWrap w:val="0"/>
            <w:vAlign w:val="center"/>
          </w:tcPr>
          <w:p w14:paraId="016702DB">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20</w:t>
            </w:r>
          </w:p>
        </w:tc>
      </w:tr>
      <w:tr w14:paraId="7CF4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C02C5A2">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全国大学生运动会</w:t>
            </w:r>
          </w:p>
        </w:tc>
        <w:tc>
          <w:tcPr>
            <w:tcW w:w="1559" w:type="dxa"/>
            <w:tcBorders>
              <w:top w:val="single" w:color="auto" w:sz="4" w:space="0"/>
              <w:left w:val="nil"/>
              <w:bottom w:val="single" w:color="auto" w:sz="4" w:space="0"/>
              <w:right w:val="single" w:color="auto" w:sz="4" w:space="0"/>
            </w:tcBorders>
            <w:noWrap w:val="0"/>
            <w:vAlign w:val="center"/>
          </w:tcPr>
          <w:p w14:paraId="3D9567DD">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25</w:t>
            </w:r>
          </w:p>
        </w:tc>
        <w:tc>
          <w:tcPr>
            <w:tcW w:w="1559" w:type="dxa"/>
            <w:tcBorders>
              <w:top w:val="single" w:color="auto" w:sz="4" w:space="0"/>
              <w:left w:val="nil"/>
              <w:bottom w:val="single" w:color="auto" w:sz="4" w:space="0"/>
              <w:right w:val="single" w:color="auto" w:sz="4" w:space="0"/>
            </w:tcBorders>
            <w:noWrap w:val="0"/>
            <w:vAlign w:val="center"/>
          </w:tcPr>
          <w:p w14:paraId="20B4597C">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23</w:t>
            </w:r>
          </w:p>
        </w:tc>
        <w:tc>
          <w:tcPr>
            <w:tcW w:w="1560" w:type="dxa"/>
            <w:tcBorders>
              <w:top w:val="single" w:color="auto" w:sz="4" w:space="0"/>
              <w:left w:val="nil"/>
              <w:bottom w:val="single" w:color="auto" w:sz="4" w:space="0"/>
              <w:right w:val="single" w:color="auto" w:sz="4" w:space="0"/>
            </w:tcBorders>
            <w:noWrap w:val="0"/>
            <w:vAlign w:val="center"/>
          </w:tcPr>
          <w:p w14:paraId="0D08CF27">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21</w:t>
            </w:r>
          </w:p>
        </w:tc>
        <w:tc>
          <w:tcPr>
            <w:tcW w:w="1386" w:type="dxa"/>
            <w:tcBorders>
              <w:top w:val="single" w:color="auto" w:sz="4" w:space="0"/>
              <w:left w:val="nil"/>
              <w:bottom w:val="single" w:color="auto" w:sz="4" w:space="0"/>
              <w:right w:val="single" w:color="auto" w:sz="4" w:space="0"/>
            </w:tcBorders>
            <w:noWrap w:val="0"/>
            <w:vAlign w:val="center"/>
          </w:tcPr>
          <w:p w14:paraId="4AAC18F7">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19</w:t>
            </w:r>
          </w:p>
        </w:tc>
        <w:tc>
          <w:tcPr>
            <w:tcW w:w="844" w:type="dxa"/>
            <w:tcBorders>
              <w:top w:val="single" w:color="auto" w:sz="4" w:space="0"/>
              <w:left w:val="nil"/>
              <w:bottom w:val="single" w:color="auto" w:sz="4" w:space="0"/>
              <w:right w:val="single" w:color="auto" w:sz="4" w:space="0"/>
            </w:tcBorders>
            <w:noWrap w:val="0"/>
            <w:vAlign w:val="center"/>
          </w:tcPr>
          <w:p w14:paraId="76F198AA">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17</w:t>
            </w:r>
          </w:p>
        </w:tc>
        <w:tc>
          <w:tcPr>
            <w:tcW w:w="998" w:type="dxa"/>
            <w:tcBorders>
              <w:top w:val="single" w:color="auto" w:sz="4" w:space="0"/>
              <w:left w:val="nil"/>
              <w:bottom w:val="single" w:color="auto" w:sz="4" w:space="0"/>
              <w:right w:val="single" w:color="auto" w:sz="4" w:space="0"/>
            </w:tcBorders>
            <w:noWrap w:val="0"/>
            <w:vAlign w:val="center"/>
          </w:tcPr>
          <w:p w14:paraId="7CB04EE2">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r>
      <w:tr w14:paraId="3283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5CF2E10F">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全国体院、全国大学生单项比赛、全国运动训练竞赛联盟比赛、广东省大学生运动会</w:t>
            </w:r>
          </w:p>
        </w:tc>
        <w:tc>
          <w:tcPr>
            <w:tcW w:w="1559" w:type="dxa"/>
            <w:tcBorders>
              <w:top w:val="single" w:color="auto" w:sz="4" w:space="0"/>
              <w:left w:val="nil"/>
              <w:bottom w:val="single" w:color="auto" w:sz="4" w:space="0"/>
              <w:right w:val="single" w:color="auto" w:sz="4" w:space="0"/>
            </w:tcBorders>
            <w:noWrap w:val="0"/>
            <w:vAlign w:val="center"/>
          </w:tcPr>
          <w:p w14:paraId="1C12E5C9">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15</w:t>
            </w:r>
          </w:p>
        </w:tc>
        <w:tc>
          <w:tcPr>
            <w:tcW w:w="1559" w:type="dxa"/>
            <w:tcBorders>
              <w:top w:val="single" w:color="auto" w:sz="4" w:space="0"/>
              <w:left w:val="nil"/>
              <w:bottom w:val="single" w:color="auto" w:sz="4" w:space="0"/>
              <w:right w:val="single" w:color="auto" w:sz="4" w:space="0"/>
            </w:tcBorders>
            <w:noWrap w:val="0"/>
            <w:vAlign w:val="center"/>
          </w:tcPr>
          <w:p w14:paraId="25FC5A77">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13</w:t>
            </w:r>
          </w:p>
        </w:tc>
        <w:tc>
          <w:tcPr>
            <w:tcW w:w="1560" w:type="dxa"/>
            <w:tcBorders>
              <w:top w:val="single" w:color="auto" w:sz="4" w:space="0"/>
              <w:left w:val="nil"/>
              <w:bottom w:val="single" w:color="auto" w:sz="4" w:space="0"/>
              <w:right w:val="single" w:color="auto" w:sz="4" w:space="0"/>
            </w:tcBorders>
            <w:noWrap w:val="0"/>
            <w:vAlign w:val="center"/>
          </w:tcPr>
          <w:p w14:paraId="6A8E749A">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11</w:t>
            </w:r>
          </w:p>
        </w:tc>
        <w:tc>
          <w:tcPr>
            <w:tcW w:w="1386" w:type="dxa"/>
            <w:tcBorders>
              <w:top w:val="single" w:color="auto" w:sz="4" w:space="0"/>
              <w:left w:val="nil"/>
              <w:bottom w:val="single" w:color="auto" w:sz="4" w:space="0"/>
              <w:right w:val="single" w:color="auto" w:sz="4" w:space="0"/>
            </w:tcBorders>
            <w:noWrap w:val="0"/>
            <w:vAlign w:val="center"/>
          </w:tcPr>
          <w:p w14:paraId="154A5BB4">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9</w:t>
            </w:r>
          </w:p>
        </w:tc>
        <w:tc>
          <w:tcPr>
            <w:tcW w:w="844" w:type="dxa"/>
            <w:tcBorders>
              <w:top w:val="single" w:color="auto" w:sz="4" w:space="0"/>
              <w:left w:val="nil"/>
              <w:bottom w:val="single" w:color="auto" w:sz="4" w:space="0"/>
              <w:right w:val="single" w:color="auto" w:sz="4" w:space="0"/>
            </w:tcBorders>
            <w:noWrap w:val="0"/>
            <w:vAlign w:val="center"/>
          </w:tcPr>
          <w:p w14:paraId="2C76690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7</w:t>
            </w:r>
          </w:p>
        </w:tc>
        <w:tc>
          <w:tcPr>
            <w:tcW w:w="998" w:type="dxa"/>
            <w:tcBorders>
              <w:top w:val="single" w:color="auto" w:sz="4" w:space="0"/>
              <w:left w:val="nil"/>
              <w:bottom w:val="single" w:color="auto" w:sz="4" w:space="0"/>
              <w:right w:val="single" w:color="auto" w:sz="4" w:space="0"/>
            </w:tcBorders>
            <w:noWrap w:val="0"/>
            <w:vAlign w:val="center"/>
          </w:tcPr>
          <w:p w14:paraId="7E23876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6</w:t>
            </w:r>
          </w:p>
        </w:tc>
      </w:tr>
      <w:tr w14:paraId="3390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7BFDD164">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省单项比赛</w:t>
            </w:r>
          </w:p>
        </w:tc>
        <w:tc>
          <w:tcPr>
            <w:tcW w:w="1559" w:type="dxa"/>
            <w:tcBorders>
              <w:top w:val="single" w:color="auto" w:sz="4" w:space="0"/>
              <w:left w:val="nil"/>
              <w:bottom w:val="single" w:color="auto" w:sz="4" w:space="0"/>
              <w:right w:val="single" w:color="auto" w:sz="4" w:space="0"/>
            </w:tcBorders>
            <w:noWrap w:val="0"/>
            <w:vAlign w:val="center"/>
          </w:tcPr>
          <w:p w14:paraId="4E901619">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10</w:t>
            </w:r>
          </w:p>
        </w:tc>
        <w:tc>
          <w:tcPr>
            <w:tcW w:w="1559" w:type="dxa"/>
            <w:tcBorders>
              <w:top w:val="single" w:color="auto" w:sz="4" w:space="0"/>
              <w:left w:val="nil"/>
              <w:bottom w:val="single" w:color="auto" w:sz="4" w:space="0"/>
              <w:right w:val="single" w:color="auto" w:sz="4" w:space="0"/>
            </w:tcBorders>
            <w:noWrap w:val="0"/>
            <w:vAlign w:val="center"/>
          </w:tcPr>
          <w:p w14:paraId="3CD1A015">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7.5</w:t>
            </w:r>
          </w:p>
        </w:tc>
        <w:tc>
          <w:tcPr>
            <w:tcW w:w="1560" w:type="dxa"/>
            <w:tcBorders>
              <w:top w:val="single" w:color="auto" w:sz="4" w:space="0"/>
              <w:left w:val="nil"/>
              <w:bottom w:val="single" w:color="auto" w:sz="4" w:space="0"/>
              <w:right w:val="single" w:color="auto" w:sz="4" w:space="0"/>
            </w:tcBorders>
            <w:noWrap w:val="0"/>
            <w:vAlign w:val="center"/>
          </w:tcPr>
          <w:p w14:paraId="50EE2EB9">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5</w:t>
            </w:r>
          </w:p>
        </w:tc>
        <w:tc>
          <w:tcPr>
            <w:tcW w:w="1386" w:type="dxa"/>
            <w:tcBorders>
              <w:top w:val="single" w:color="auto" w:sz="4" w:space="0"/>
              <w:left w:val="nil"/>
              <w:bottom w:val="single" w:color="auto" w:sz="4" w:space="0"/>
              <w:right w:val="single" w:color="auto" w:sz="4" w:space="0"/>
            </w:tcBorders>
            <w:noWrap w:val="0"/>
            <w:vAlign w:val="center"/>
          </w:tcPr>
          <w:p w14:paraId="72FFE20E">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3.5</w:t>
            </w:r>
          </w:p>
        </w:tc>
        <w:tc>
          <w:tcPr>
            <w:tcW w:w="844" w:type="dxa"/>
            <w:tcBorders>
              <w:top w:val="single" w:color="auto" w:sz="4" w:space="0"/>
              <w:left w:val="nil"/>
              <w:bottom w:val="single" w:color="auto" w:sz="4" w:space="0"/>
              <w:right w:val="single" w:color="auto" w:sz="4" w:space="0"/>
            </w:tcBorders>
            <w:noWrap w:val="0"/>
            <w:vAlign w:val="center"/>
          </w:tcPr>
          <w:p w14:paraId="07C4E36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998" w:type="dxa"/>
            <w:tcBorders>
              <w:top w:val="single" w:color="auto" w:sz="4" w:space="0"/>
              <w:left w:val="nil"/>
              <w:bottom w:val="single" w:color="auto" w:sz="4" w:space="0"/>
              <w:right w:val="single" w:color="auto" w:sz="4" w:space="0"/>
            </w:tcBorders>
            <w:noWrap w:val="0"/>
            <w:vAlign w:val="center"/>
          </w:tcPr>
          <w:p w14:paraId="3471FB0A">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2.5</w:t>
            </w:r>
          </w:p>
        </w:tc>
      </w:tr>
      <w:tr w14:paraId="1986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85" w:type="dxa"/>
            <w:tcBorders>
              <w:top w:val="single" w:color="auto" w:sz="4" w:space="0"/>
              <w:left w:val="single" w:color="auto" w:sz="4" w:space="0"/>
              <w:bottom w:val="single" w:color="auto" w:sz="4" w:space="0"/>
              <w:right w:val="single" w:color="auto" w:sz="4" w:space="0"/>
            </w:tcBorders>
            <w:noWrap w:val="0"/>
            <w:vAlign w:val="center"/>
          </w:tcPr>
          <w:p w14:paraId="07D53020">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校级运动竞赛</w:t>
            </w:r>
          </w:p>
        </w:tc>
        <w:tc>
          <w:tcPr>
            <w:tcW w:w="1559" w:type="dxa"/>
            <w:tcBorders>
              <w:top w:val="single" w:color="auto" w:sz="4" w:space="0"/>
              <w:left w:val="nil"/>
              <w:bottom w:val="single" w:color="auto" w:sz="4" w:space="0"/>
              <w:right w:val="single" w:color="auto" w:sz="4" w:space="0"/>
            </w:tcBorders>
            <w:noWrap w:val="0"/>
            <w:vAlign w:val="center"/>
          </w:tcPr>
          <w:p w14:paraId="3EC95F61">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3</w:t>
            </w:r>
          </w:p>
        </w:tc>
        <w:tc>
          <w:tcPr>
            <w:tcW w:w="1559" w:type="dxa"/>
            <w:tcBorders>
              <w:top w:val="single" w:color="auto" w:sz="4" w:space="0"/>
              <w:left w:val="nil"/>
              <w:bottom w:val="single" w:color="auto" w:sz="4" w:space="0"/>
              <w:right w:val="single" w:color="auto" w:sz="4" w:space="0"/>
            </w:tcBorders>
            <w:noWrap w:val="0"/>
            <w:vAlign w:val="center"/>
          </w:tcPr>
          <w:p w14:paraId="7A5E3BCC">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2</w:t>
            </w:r>
          </w:p>
        </w:tc>
        <w:tc>
          <w:tcPr>
            <w:tcW w:w="1560" w:type="dxa"/>
            <w:tcBorders>
              <w:top w:val="single" w:color="auto" w:sz="4" w:space="0"/>
              <w:left w:val="nil"/>
              <w:bottom w:val="single" w:color="auto" w:sz="4" w:space="0"/>
              <w:right w:val="single" w:color="auto" w:sz="4" w:space="0"/>
            </w:tcBorders>
            <w:noWrap w:val="0"/>
            <w:vAlign w:val="center"/>
          </w:tcPr>
          <w:p w14:paraId="12F0EB9F">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1</w:t>
            </w:r>
          </w:p>
        </w:tc>
        <w:tc>
          <w:tcPr>
            <w:tcW w:w="1386" w:type="dxa"/>
            <w:tcBorders>
              <w:top w:val="single" w:color="auto" w:sz="4" w:space="0"/>
              <w:left w:val="nil"/>
              <w:bottom w:val="single" w:color="auto" w:sz="4" w:space="0"/>
              <w:right w:val="single" w:color="auto" w:sz="4" w:space="0"/>
            </w:tcBorders>
            <w:noWrap w:val="0"/>
            <w:vAlign w:val="center"/>
          </w:tcPr>
          <w:p w14:paraId="68779203">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0.5</w:t>
            </w:r>
          </w:p>
        </w:tc>
        <w:tc>
          <w:tcPr>
            <w:tcW w:w="844" w:type="dxa"/>
            <w:tcBorders>
              <w:top w:val="single" w:color="auto" w:sz="4" w:space="0"/>
              <w:left w:val="nil"/>
              <w:bottom w:val="single" w:color="auto" w:sz="4" w:space="0"/>
              <w:right w:val="single" w:color="auto" w:sz="4" w:space="0"/>
            </w:tcBorders>
            <w:noWrap w:val="0"/>
            <w:vAlign w:val="center"/>
          </w:tcPr>
          <w:p w14:paraId="1270D4D8">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0.5</w:t>
            </w:r>
          </w:p>
        </w:tc>
        <w:tc>
          <w:tcPr>
            <w:tcW w:w="998" w:type="dxa"/>
            <w:tcBorders>
              <w:top w:val="single" w:color="auto" w:sz="4" w:space="0"/>
              <w:left w:val="nil"/>
              <w:bottom w:val="single" w:color="auto" w:sz="4" w:space="0"/>
              <w:right w:val="single" w:color="auto" w:sz="4" w:space="0"/>
            </w:tcBorders>
            <w:noWrap w:val="0"/>
            <w:vAlign w:val="center"/>
          </w:tcPr>
          <w:p w14:paraId="6DBF0344">
            <w:pPr>
              <w:spacing w:line="380" w:lineRule="exact"/>
              <w:jc w:val="center"/>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0.5</w:t>
            </w:r>
          </w:p>
        </w:tc>
      </w:tr>
      <w:tr w14:paraId="20D5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91" w:type="dxa"/>
            <w:gridSpan w:val="7"/>
            <w:tcBorders>
              <w:top w:val="single" w:color="auto" w:sz="4" w:space="0"/>
              <w:left w:val="single" w:color="auto" w:sz="4" w:space="0"/>
              <w:bottom w:val="single" w:color="auto" w:sz="4" w:space="0"/>
              <w:right w:val="single" w:color="auto" w:sz="4" w:space="0"/>
            </w:tcBorders>
            <w:noWrap w:val="0"/>
            <w:vAlign w:val="center"/>
          </w:tcPr>
          <w:p w14:paraId="0873AE43">
            <w:pPr>
              <w:spacing w:line="380" w:lineRule="exact"/>
              <w:jc w:val="left"/>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注：具体赛事以竞赛训练处列入的年度比赛计划目录为准。</w:t>
            </w:r>
          </w:p>
        </w:tc>
      </w:tr>
    </w:tbl>
    <w:p w14:paraId="1664A91A">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说明：</w:t>
      </w:r>
    </w:p>
    <w:p w14:paraId="2E17D966">
      <w:pPr>
        <w:numPr>
          <w:ilvl w:val="0"/>
          <w:numId w:val="2"/>
        </w:num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上述为奥运项目加分标准，如为非奥运会项目，上述竞赛分值按60%计算，非奥项目中同一竞赛不同细项只计最高分，不累计加分；</w:t>
      </w:r>
    </w:p>
    <w:p w14:paraId="53E92D5A">
      <w:pPr>
        <w:numPr>
          <w:ilvl w:val="0"/>
          <w:numId w:val="3"/>
        </w:numPr>
        <w:spacing w:line="380" w:lineRule="exact"/>
        <w:ind w:firstLine="420" w:firstLineChars="2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团体比赛或全能比赛同样按照比赛名次进行加分，不翻倍加分。</w:t>
      </w:r>
    </w:p>
    <w:p w14:paraId="17536906">
      <w:pPr>
        <w:numPr>
          <w:ilvl w:val="0"/>
          <w:numId w:val="3"/>
        </w:numPr>
        <w:spacing w:line="380" w:lineRule="exact"/>
        <w:ind w:firstLine="420" w:firstLineChars="200"/>
        <w:rPr>
          <w:rFonts w:hint="eastAsia" w:ascii="华文仿宋" w:hAnsi="华文仿宋" w:eastAsia="华文仿宋" w:cs="华文仿宋"/>
          <w:color w:val="000000"/>
          <w:szCs w:val="21"/>
          <w:highlight w:val="none"/>
        </w:rPr>
      </w:pPr>
      <w:r>
        <w:rPr>
          <w:rFonts w:hint="eastAsia" w:ascii="华文仿宋" w:hAnsi="华文仿宋" w:eastAsia="华文仿宋" w:cs="华文仿宋"/>
          <w:color w:val="000000"/>
          <w:szCs w:val="21"/>
          <w:highlight w:val="none"/>
        </w:rPr>
        <w:t>参赛者名次以比赛秩序册和成绩单为准。</w:t>
      </w:r>
    </w:p>
    <w:p w14:paraId="0B37675B">
      <w:pPr>
        <w:numPr>
          <w:ilvl w:val="0"/>
          <w:numId w:val="3"/>
        </w:numPr>
        <w:spacing w:line="380" w:lineRule="exact"/>
        <w:ind w:left="0" w:leftChars="0"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highlight w:val="none"/>
        </w:rPr>
        <w:t>具体赛事以竞赛训练处列入的年度比赛计划目录为准，如</w:t>
      </w:r>
      <w:r>
        <w:rPr>
          <w:rFonts w:hint="eastAsia" w:ascii="华文仿宋" w:hAnsi="华文仿宋" w:eastAsia="华文仿宋" w:cs="华文仿宋"/>
          <w:color w:val="000000"/>
          <w:szCs w:val="21"/>
        </w:rPr>
        <w:t>有其他竞赛未纳入上述名录，需报研究生院审核认定。研究生院依据竞赛级别、竞争难度等因素进行认定，参考名录内同级别竞赛标准计分。</w:t>
      </w:r>
    </w:p>
    <w:p w14:paraId="7B582609">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color w:val="000000"/>
          <w:szCs w:val="21"/>
        </w:rPr>
        <w:t>（</w:t>
      </w:r>
      <w:r>
        <w:rPr>
          <w:rFonts w:hint="eastAsia" w:ascii="华文仿宋" w:hAnsi="华文仿宋" w:eastAsia="华文仿宋" w:cs="华文仿宋"/>
          <w:szCs w:val="21"/>
        </w:rPr>
        <w:t>七）个人获得荣誉</w:t>
      </w:r>
    </w:p>
    <w:p w14:paraId="762CA177">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szCs w:val="21"/>
        </w:rPr>
        <w:t>省级优秀研究生加4分，校级</w:t>
      </w:r>
      <w:r>
        <w:rPr>
          <w:rFonts w:hint="eastAsia" w:ascii="华文仿宋" w:hAnsi="华文仿宋" w:eastAsia="华文仿宋" w:cs="华文仿宋"/>
          <w:color w:val="000000"/>
          <w:szCs w:val="21"/>
        </w:rPr>
        <w:t>五四青年奖章、优秀学生党员、五四红旗标兵、优秀团干部、优秀学生干部加3分、考评合格的学生干部加1分，以上荣誉同级别只记一次得分，不同级别可分别计分。</w:t>
      </w:r>
    </w:p>
    <w:p w14:paraId="0D528166">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由学院主管部门审批通过且服</w:t>
      </w:r>
      <w:bookmarkStart w:id="1" w:name="_GoBack"/>
      <w:bookmarkEnd w:id="1"/>
      <w:r>
        <w:rPr>
          <w:rFonts w:hint="eastAsia" w:ascii="华文仿宋" w:hAnsi="华文仿宋" w:eastAsia="华文仿宋" w:cs="华文仿宋"/>
          <w:color w:val="000000"/>
          <w:szCs w:val="21"/>
        </w:rPr>
        <w:t>务满一年的研究生助管1分。</w:t>
      </w:r>
    </w:p>
    <w:p w14:paraId="0A601505">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color w:val="000000"/>
          <w:szCs w:val="21"/>
        </w:rPr>
        <w:t>（八）在国家和省级运动队第一线及研究生示范基地进行科技服务期满一年者加6分（需为校方与基地协议派出，并以基地运动队证明为准）。到经济欠发达地区参加教育对口帮扶工作满一学期加6分。</w:t>
      </w:r>
    </w:p>
    <w:p w14:paraId="110EB870">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color w:val="000000"/>
          <w:szCs w:val="21"/>
        </w:rPr>
        <w:t>（</w:t>
      </w:r>
      <w:r>
        <w:rPr>
          <w:rFonts w:hint="eastAsia" w:ascii="华文仿宋" w:hAnsi="华文仿宋" w:eastAsia="华文仿宋" w:cs="华文仿宋"/>
          <w:szCs w:val="21"/>
        </w:rPr>
        <w:t>九）体育硕士专业学位研究生单独计分项目：</w:t>
      </w:r>
    </w:p>
    <w:p w14:paraId="66D27CD7">
      <w:pPr>
        <w:spacing w:line="380" w:lineRule="exact"/>
        <w:ind w:firstLine="420" w:firstLineChars="200"/>
        <w:rPr>
          <w:rFonts w:hint="eastAsia" w:ascii="华文仿宋" w:hAnsi="华文仿宋" w:eastAsia="华文仿宋" w:cs="华文仿宋"/>
          <w:color w:val="000000"/>
          <w:szCs w:val="21"/>
        </w:rPr>
      </w:pPr>
      <w:r>
        <w:rPr>
          <w:rFonts w:hint="eastAsia" w:ascii="华文仿宋" w:hAnsi="华文仿宋" w:eastAsia="华文仿宋" w:cs="华文仿宋"/>
          <w:szCs w:val="21"/>
        </w:rPr>
        <w:t>1．体育硕士研究生在读期间，获得权威机构颁发的运动员等级证书，运动健</w:t>
      </w:r>
      <w:r>
        <w:rPr>
          <w:rFonts w:hint="eastAsia" w:ascii="华文仿宋" w:hAnsi="华文仿宋" w:eastAsia="华文仿宋" w:cs="华文仿宋"/>
          <w:color w:val="000000"/>
          <w:szCs w:val="21"/>
        </w:rPr>
        <w:t>将及以上20分，一级10分，二级5分；获得裁判员和职业社会体育指导员证者，国家级6分，一级3分，二级1分，同一项目证书只加一次分，且10分封顶；获得救生员证2分；获得教师资格证2分。</w:t>
      </w:r>
    </w:p>
    <w:p w14:paraId="759BA200">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2．参加研究生院及以上级别教学、实践技能基本功大赛，第一名加5分，第二名加3分，第三名加2分，4-6名加1分。</w:t>
      </w:r>
    </w:p>
    <w:p w14:paraId="47F9A4A0">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六、附则</w:t>
      </w:r>
    </w:p>
    <w:p w14:paraId="3E1083B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（一）本实施细则自发布之日起施行，未尽事宜由研究生国家奖学金评审委员会讨论决定。</w:t>
      </w:r>
    </w:p>
    <w:p w14:paraId="411F949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（二）本实施细则由研究生院负责解释。</w:t>
      </w:r>
    </w:p>
    <w:p w14:paraId="2A786CC1">
      <w:pPr>
        <w:spacing w:line="380" w:lineRule="exact"/>
        <w:ind w:firstLine="420" w:firstLineChars="200"/>
        <w:rPr>
          <w:rFonts w:hint="eastAsia" w:ascii="华文仿宋" w:hAnsi="华文仿宋" w:eastAsia="华文仿宋" w:cs="华文仿宋"/>
          <w:szCs w:val="21"/>
        </w:rPr>
      </w:pPr>
      <w:r>
        <w:rPr>
          <w:rFonts w:hint="eastAsia" w:ascii="华文仿宋" w:hAnsi="华文仿宋" w:eastAsia="华文仿宋" w:cs="华文仿宋"/>
          <w:szCs w:val="21"/>
        </w:rPr>
        <w:t xml:space="preserve"> </w:t>
      </w:r>
    </w:p>
    <w:p w14:paraId="008DE118">
      <w:pPr>
        <w:wordWrap w:val="0"/>
        <w:spacing w:line="380" w:lineRule="exact"/>
        <w:ind w:firstLine="420" w:firstLineChars="200"/>
        <w:jc w:val="right"/>
        <w:rPr>
          <w:rFonts w:hint="eastAsia" w:ascii="华文仿宋" w:hAnsi="华文仿宋" w:eastAsia="华文仿宋" w:cs="华文仿宋"/>
          <w:szCs w:val="21"/>
          <w:lang w:val="en-US" w:eastAsia="zh-CN"/>
        </w:rPr>
      </w:pPr>
      <w:r>
        <w:rPr>
          <w:rFonts w:hint="eastAsia" w:ascii="华文仿宋" w:hAnsi="华文仿宋" w:eastAsia="华文仿宋" w:cs="华文仿宋"/>
          <w:szCs w:val="21"/>
        </w:rPr>
        <w:t>广州体育学院研究生院</w:t>
      </w:r>
      <w:r>
        <w:rPr>
          <w:rFonts w:hint="eastAsia" w:ascii="华文仿宋" w:hAnsi="华文仿宋" w:eastAsia="华文仿宋" w:cs="华文仿宋"/>
          <w:szCs w:val="21"/>
          <w:lang w:val="en-US" w:eastAsia="zh-CN"/>
        </w:rPr>
        <w:t xml:space="preserve">    </w:t>
      </w:r>
    </w:p>
    <w:p w14:paraId="5F9406E2">
      <w:pPr>
        <w:wordWrap w:val="0"/>
        <w:spacing w:line="380" w:lineRule="exact"/>
        <w:ind w:firstLine="420" w:firstLineChars="200"/>
        <w:jc w:val="right"/>
        <w:rPr>
          <w:rFonts w:hint="eastAsia" w:ascii="华文仿宋" w:hAnsi="华文仿宋" w:eastAsia="华文仿宋" w:cs="华文仿宋"/>
          <w:szCs w:val="21"/>
          <w:lang w:val="en-US" w:eastAsia="zh-CN"/>
        </w:rPr>
      </w:pPr>
      <w:r>
        <w:rPr>
          <w:rFonts w:hint="eastAsia" w:ascii="华文仿宋" w:hAnsi="华文仿宋" w:eastAsia="华文仿宋" w:cs="华文仿宋"/>
          <w:szCs w:val="21"/>
        </w:rPr>
        <w:t>2022年7月8日</w:t>
      </w:r>
      <w:r>
        <w:rPr>
          <w:rFonts w:hint="eastAsia" w:ascii="华文仿宋" w:hAnsi="华文仿宋" w:eastAsia="华文仿宋" w:cs="华文仿宋"/>
          <w:szCs w:val="21"/>
          <w:lang w:val="en-US" w:eastAsia="zh-CN"/>
        </w:rPr>
        <w:t xml:space="preserve">      </w:t>
      </w:r>
    </w:p>
    <w:p w14:paraId="7C4ED2FB">
      <w:pPr>
        <w:spacing w:line="380" w:lineRule="exact"/>
        <w:ind w:firstLine="5880" w:firstLineChars="2800"/>
        <w:rPr>
          <w:rFonts w:hint="eastAsia" w:ascii="华文仿宋" w:hAnsi="华文仿宋" w:eastAsia="华文仿宋" w:cs="华文仿宋"/>
          <w:szCs w:val="21"/>
        </w:rPr>
      </w:pPr>
    </w:p>
    <w:p w14:paraId="707EDF59">
      <w:pPr>
        <w:spacing w:line="380" w:lineRule="exact"/>
        <w:ind w:firstLine="5880" w:firstLineChars="2800"/>
        <w:rPr>
          <w:rFonts w:hint="eastAsia" w:ascii="华文仿宋" w:hAnsi="华文仿宋" w:eastAsia="华文仿宋" w:cs="华文仿宋"/>
          <w:szCs w:val="21"/>
        </w:rPr>
      </w:pPr>
    </w:p>
    <w:p w14:paraId="4254DA75">
      <w:pPr>
        <w:spacing w:line="380" w:lineRule="exact"/>
        <w:ind w:firstLine="5880" w:firstLineChars="2800"/>
        <w:rPr>
          <w:rFonts w:hint="eastAsia" w:ascii="华文仿宋" w:hAnsi="华文仿宋" w:eastAsia="华文仿宋" w:cs="华文仿宋"/>
          <w:szCs w:val="21"/>
        </w:rPr>
      </w:pPr>
    </w:p>
    <w:p w14:paraId="10728166">
      <w:pPr>
        <w:spacing w:line="380" w:lineRule="exact"/>
        <w:ind w:firstLine="5880" w:firstLineChars="2800"/>
        <w:rPr>
          <w:szCs w:val="21"/>
        </w:rPr>
      </w:pPr>
    </w:p>
    <w:p w14:paraId="499E478A">
      <w:pPr>
        <w:spacing w:line="380" w:lineRule="exact"/>
        <w:ind w:firstLine="5880" w:firstLineChars="2800"/>
        <w:rPr>
          <w:szCs w:val="21"/>
        </w:rPr>
      </w:pPr>
    </w:p>
    <w:p w14:paraId="0BD640FE">
      <w:pPr>
        <w:spacing w:line="380" w:lineRule="exact"/>
        <w:ind w:firstLine="5880" w:firstLineChars="2800"/>
        <w:rPr>
          <w:szCs w:val="21"/>
        </w:rPr>
      </w:pPr>
    </w:p>
    <w:p w14:paraId="4074B770">
      <w:pPr>
        <w:spacing w:line="380" w:lineRule="exact"/>
        <w:ind w:firstLine="5880" w:firstLineChars="2800"/>
        <w:rPr>
          <w:szCs w:val="21"/>
        </w:rPr>
      </w:pPr>
    </w:p>
    <w:p w14:paraId="5B6EE644">
      <w:pPr>
        <w:spacing w:line="380" w:lineRule="exact"/>
        <w:ind w:firstLine="5880" w:firstLineChars="2800"/>
        <w:rPr>
          <w:szCs w:val="21"/>
        </w:rPr>
      </w:pPr>
    </w:p>
    <w:p w14:paraId="66029637">
      <w:pPr>
        <w:spacing w:line="380" w:lineRule="exact"/>
        <w:ind w:firstLine="5880" w:firstLineChars="2800"/>
        <w:rPr>
          <w:szCs w:val="21"/>
        </w:rPr>
      </w:pPr>
    </w:p>
    <w:p w14:paraId="7AF278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24B2D"/>
    <w:multiLevelType w:val="singleLevel"/>
    <w:tmpl w:val="97524B2D"/>
    <w:lvl w:ilvl="0" w:tentative="0">
      <w:start w:val="2"/>
      <w:numFmt w:val="chineseCounting"/>
      <w:suff w:val="nothing"/>
      <w:lvlText w:val="（%1）"/>
      <w:lvlJc w:val="left"/>
      <w:pPr>
        <w:ind w:left="15"/>
      </w:pPr>
      <w:rPr>
        <w:rFonts w:hint="eastAsia"/>
      </w:rPr>
    </w:lvl>
  </w:abstractNum>
  <w:abstractNum w:abstractNumId="1">
    <w:nsid w:val="D9FB008A"/>
    <w:multiLevelType w:val="singleLevel"/>
    <w:tmpl w:val="D9FB008A"/>
    <w:lvl w:ilvl="0" w:tentative="0">
      <w:start w:val="2"/>
      <w:numFmt w:val="decimal"/>
      <w:lvlText w:val="%1."/>
      <w:lvlJc w:val="left"/>
      <w:pPr>
        <w:tabs>
          <w:tab w:val="left" w:pos="312"/>
        </w:tabs>
      </w:pPr>
    </w:lvl>
  </w:abstractNum>
  <w:abstractNum w:abstractNumId="2">
    <w:nsid w:val="E85FBFA6"/>
    <w:multiLevelType w:val="singleLevel"/>
    <w:tmpl w:val="E85FBFA6"/>
    <w:lvl w:ilvl="0" w:tentative="0">
      <w:start w:val="1"/>
      <w:numFmt w:val="decimal"/>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ZWFjNDVmZGRiNGI4M2RkMGI2YmIyM2RkNGU1YjMifQ=="/>
  </w:docVars>
  <w:rsids>
    <w:rsidRoot w:val="355B5698"/>
    <w:rsid w:val="0F5673B2"/>
    <w:rsid w:val="355B5698"/>
    <w:rsid w:val="43473C9C"/>
    <w:rsid w:val="52017E95"/>
    <w:rsid w:val="B4BFE126"/>
    <w:rsid w:val="F4D60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黑体"/>
      <w:b/>
      <w:bCs/>
      <w:sz w:val="30"/>
      <w:szCs w:val="32"/>
    </w:rPr>
  </w:style>
  <w:style w:type="character" w:customStyle="1" w:styleId="5">
    <w:name w:val="15"/>
    <w:qFormat/>
    <w:uiPriority w:val="0"/>
    <w:rPr>
      <w:rFonts w:hint="default" w:ascii="Arial" w:hAnsi="Arial" w:cs="Arial"/>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3973</Words>
  <Characters>4175</Characters>
  <Lines>0</Lines>
  <Paragraphs>0</Paragraphs>
  <TotalTime>6</TotalTime>
  <ScaleCrop>false</ScaleCrop>
  <LinksUpToDate>false</LinksUpToDate>
  <CharactersWithSpaces>4203</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2023-09-17T06:17:00Z</dcterms:created>
  <dc:creator>@17s</dc:creator>
  <cp:lastModifiedBy>朱雅丽</cp:lastModifiedBy>
  <dcterms:modified xsi:type="dcterms:W3CDTF">2024-09-13T13:33:33Z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2052-12.1.0.17440</vt:lpwstr>
  </property>
  <property fmtid="{D5CDD505-2E9C-101B-9397-08002B2CF9AE}" pid="3" name="ICV">
    <vt:lpwstr>DB9078AA8B1D6A0D67480565459B7111_41</vt:lpwstr>
  </property>
</Properties>
</file>